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C6E4" w14:textId="77777777" w:rsidR="00912C78" w:rsidRPr="004D23DE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Kupní smlouva</w:t>
      </w:r>
    </w:p>
    <w:p w14:paraId="1095FC7C" w14:textId="77777777" w:rsidR="00912C78" w:rsidRPr="00786F81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jc w:val="center"/>
        <w:rPr>
          <w:rFonts w:ascii="Times New Roman" w:hAnsi="Times New Roman"/>
          <w:i/>
          <w:iCs/>
          <w:sz w:val="21"/>
          <w:szCs w:val="21"/>
        </w:rPr>
      </w:pPr>
      <w:r w:rsidRPr="00786F81">
        <w:rPr>
          <w:rFonts w:ascii="Times New Roman" w:hAnsi="Times New Roman"/>
          <w:i/>
          <w:iCs/>
          <w:sz w:val="21"/>
          <w:szCs w:val="21"/>
        </w:rPr>
        <w:t xml:space="preserve">uzavřená dle § 2079 a násl. zákona č. 89/2012 Sb., občanský zákoník, ve znění pozdějších předpisů (dále jen jako </w:t>
      </w:r>
      <w:r w:rsidRPr="00786F81">
        <w:rPr>
          <w:rFonts w:ascii="Times New Roman" w:hAnsi="Times New Roman"/>
          <w:b/>
          <w:bCs/>
          <w:i/>
          <w:iCs/>
          <w:sz w:val="21"/>
          <w:szCs w:val="21"/>
        </w:rPr>
        <w:t>„smlouva“</w:t>
      </w:r>
      <w:r w:rsidRPr="00786F81">
        <w:rPr>
          <w:rFonts w:ascii="Times New Roman" w:hAnsi="Times New Roman"/>
          <w:i/>
          <w:iCs/>
          <w:sz w:val="21"/>
          <w:szCs w:val="21"/>
        </w:rPr>
        <w:t>)</w:t>
      </w:r>
    </w:p>
    <w:p w14:paraId="6503EAD9" w14:textId="77777777" w:rsidR="00912C78" w:rsidRPr="004D23DE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jc w:val="center"/>
        <w:rPr>
          <w:rFonts w:ascii="Times New Roman" w:hAnsi="Times New Roman"/>
          <w:i/>
          <w:iCs/>
          <w:sz w:val="23"/>
          <w:szCs w:val="23"/>
        </w:rPr>
      </w:pPr>
    </w:p>
    <w:p w14:paraId="625583D0" w14:textId="77777777" w:rsidR="00912C78" w:rsidRPr="00A21E6C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ind w:left="1560"/>
        <w:contextualSpacing/>
        <w:rPr>
          <w:rFonts w:ascii="Times New Roman" w:hAnsi="Times New Roman"/>
          <w:sz w:val="23"/>
          <w:szCs w:val="23"/>
          <w:highlight w:val="green"/>
        </w:rPr>
      </w:pPr>
      <w:r w:rsidRPr="00A21E6C">
        <w:rPr>
          <w:rFonts w:ascii="Times New Roman" w:hAnsi="Times New Roman"/>
          <w:sz w:val="23"/>
          <w:szCs w:val="23"/>
          <w:highlight w:val="green"/>
        </w:rPr>
        <w:t>číslo smlouvy kupujícího:</w:t>
      </w:r>
    </w:p>
    <w:p w14:paraId="05AE9B82" w14:textId="77777777" w:rsidR="00912C78" w:rsidRPr="004D23DE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rPr>
          <w:rFonts w:ascii="Times New Roman" w:hAnsi="Times New Roman"/>
          <w:b/>
          <w:sz w:val="23"/>
          <w:szCs w:val="23"/>
        </w:rPr>
      </w:pPr>
    </w:p>
    <w:p w14:paraId="16906EA5" w14:textId="77777777" w:rsidR="00912C78" w:rsidRPr="004D23DE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Obec Středokluky</w:t>
      </w:r>
    </w:p>
    <w:p w14:paraId="3DF16E0F" w14:textId="77777777" w:rsidR="00912C78" w:rsidRPr="004D23DE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rPr>
          <w:rFonts w:ascii="Times New Roman" w:hAnsi="Times New Roman"/>
          <w:bCs/>
          <w:sz w:val="23"/>
          <w:szCs w:val="23"/>
        </w:rPr>
      </w:pPr>
      <w:r w:rsidRPr="004D23DE">
        <w:rPr>
          <w:rFonts w:ascii="Times New Roman" w:hAnsi="Times New Roman"/>
          <w:bCs/>
          <w:sz w:val="23"/>
          <w:szCs w:val="23"/>
        </w:rPr>
        <w:t xml:space="preserve">zastoupena </w:t>
      </w:r>
      <w:r>
        <w:rPr>
          <w:rFonts w:ascii="Times New Roman" w:hAnsi="Times New Roman"/>
          <w:bCs/>
          <w:sz w:val="23"/>
          <w:szCs w:val="23"/>
        </w:rPr>
        <w:t xml:space="preserve">Ing. Jaroslavem </w:t>
      </w:r>
      <w:proofErr w:type="spellStart"/>
      <w:r>
        <w:rPr>
          <w:rFonts w:ascii="Times New Roman" w:hAnsi="Times New Roman"/>
          <w:bCs/>
          <w:sz w:val="23"/>
          <w:szCs w:val="23"/>
        </w:rPr>
        <w:t>Paznochtem</w:t>
      </w:r>
      <w:proofErr w:type="spellEnd"/>
      <w:r>
        <w:rPr>
          <w:rFonts w:ascii="Times New Roman" w:hAnsi="Times New Roman"/>
          <w:bCs/>
          <w:sz w:val="23"/>
          <w:szCs w:val="23"/>
        </w:rPr>
        <w:t>, starost</w:t>
      </w:r>
      <w:r w:rsidRPr="004D23DE">
        <w:rPr>
          <w:rFonts w:ascii="Times New Roman" w:hAnsi="Times New Roman"/>
          <w:bCs/>
          <w:sz w:val="23"/>
          <w:szCs w:val="23"/>
        </w:rPr>
        <w:t xml:space="preserve">ou </w:t>
      </w:r>
    </w:p>
    <w:p w14:paraId="7217FF2D" w14:textId="77777777" w:rsidR="00912C78" w:rsidRPr="004D23DE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rPr>
          <w:rFonts w:ascii="Times New Roman" w:hAnsi="Times New Roman"/>
          <w:sz w:val="23"/>
          <w:szCs w:val="23"/>
        </w:rPr>
      </w:pPr>
      <w:r w:rsidRPr="004D23DE">
        <w:rPr>
          <w:rFonts w:ascii="Times New Roman" w:hAnsi="Times New Roman"/>
          <w:sz w:val="23"/>
          <w:szCs w:val="23"/>
        </w:rPr>
        <w:t xml:space="preserve">se sídlem </w:t>
      </w:r>
      <w:r>
        <w:rPr>
          <w:rFonts w:ascii="Times New Roman" w:hAnsi="Times New Roman"/>
          <w:sz w:val="23"/>
          <w:szCs w:val="23"/>
        </w:rPr>
        <w:t>Lidická 61, 252 68 Středokluky</w:t>
      </w:r>
    </w:p>
    <w:p w14:paraId="1DA5575D" w14:textId="77777777" w:rsidR="00912C78" w:rsidRPr="004D23DE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rPr>
          <w:rFonts w:ascii="Times New Roman" w:hAnsi="Times New Roman"/>
          <w:sz w:val="23"/>
          <w:szCs w:val="23"/>
        </w:rPr>
      </w:pPr>
      <w:r w:rsidRPr="004D23DE">
        <w:rPr>
          <w:rFonts w:ascii="Times New Roman" w:hAnsi="Times New Roman"/>
          <w:sz w:val="23"/>
          <w:szCs w:val="23"/>
        </w:rPr>
        <w:t xml:space="preserve">IČO: 002 </w:t>
      </w:r>
      <w:r>
        <w:rPr>
          <w:rFonts w:ascii="Times New Roman" w:hAnsi="Times New Roman"/>
          <w:sz w:val="23"/>
          <w:szCs w:val="23"/>
        </w:rPr>
        <w:t>41 695</w:t>
      </w:r>
    </w:p>
    <w:p w14:paraId="6B15418E" w14:textId="77777777" w:rsidR="00912C78" w:rsidRPr="00900F63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rPr>
          <w:rFonts w:ascii="Times New Roman" w:hAnsi="Times New Roman"/>
          <w:sz w:val="23"/>
          <w:szCs w:val="23"/>
        </w:rPr>
      </w:pPr>
      <w:r w:rsidRPr="004D23DE">
        <w:rPr>
          <w:rFonts w:ascii="Times New Roman" w:hAnsi="Times New Roman"/>
          <w:sz w:val="23"/>
          <w:szCs w:val="23"/>
        </w:rPr>
        <w:t xml:space="preserve">DIČ: </w:t>
      </w:r>
      <w:r>
        <w:rPr>
          <w:rFonts w:ascii="Times New Roman" w:hAnsi="Times New Roman"/>
          <w:sz w:val="23"/>
          <w:szCs w:val="23"/>
        </w:rPr>
        <w:t>CZ00241695</w:t>
      </w:r>
    </w:p>
    <w:p w14:paraId="2980DC53" w14:textId="77777777" w:rsidR="00912C78" w:rsidRPr="00900F63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rPr>
          <w:rFonts w:ascii="Times New Roman" w:hAnsi="Times New Roman"/>
          <w:sz w:val="23"/>
          <w:szCs w:val="23"/>
        </w:rPr>
      </w:pPr>
      <w:r w:rsidRPr="00900F63">
        <w:rPr>
          <w:rFonts w:ascii="Times New Roman" w:hAnsi="Times New Roman"/>
          <w:sz w:val="23"/>
          <w:szCs w:val="23"/>
        </w:rPr>
        <w:t>Bankovní spojení: Komerční banka, a.s., č. účtu: 6125111/0100</w:t>
      </w:r>
    </w:p>
    <w:p w14:paraId="4F9119D1" w14:textId="77777777" w:rsidR="00912C78" w:rsidRPr="00900F63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rPr>
          <w:rFonts w:ascii="Times New Roman" w:hAnsi="Times New Roman"/>
          <w:sz w:val="23"/>
          <w:szCs w:val="23"/>
        </w:rPr>
      </w:pPr>
      <w:r w:rsidRPr="00900F63">
        <w:rPr>
          <w:rFonts w:ascii="Times New Roman" w:hAnsi="Times New Roman"/>
          <w:sz w:val="23"/>
          <w:szCs w:val="23"/>
        </w:rPr>
        <w:t>e-mail: obec@stredokluky.cz</w:t>
      </w:r>
    </w:p>
    <w:p w14:paraId="0C985393" w14:textId="77777777" w:rsidR="00912C78" w:rsidRPr="00F8263C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rPr>
          <w:rFonts w:ascii="Times New Roman" w:hAnsi="Times New Roman"/>
          <w:b/>
          <w:bCs/>
          <w:sz w:val="23"/>
          <w:szCs w:val="23"/>
        </w:rPr>
      </w:pPr>
      <w:r w:rsidRPr="00900F63">
        <w:rPr>
          <w:rFonts w:ascii="Times New Roman" w:hAnsi="Times New Roman"/>
          <w:sz w:val="23"/>
          <w:szCs w:val="23"/>
        </w:rPr>
        <w:t>ID datové schránky: xr8bmsb</w:t>
      </w:r>
    </w:p>
    <w:p w14:paraId="4ACAF06A" w14:textId="77777777" w:rsidR="00912C78" w:rsidRPr="004D23DE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rPr>
          <w:rFonts w:ascii="Times New Roman" w:hAnsi="Times New Roman"/>
          <w:sz w:val="23"/>
          <w:szCs w:val="23"/>
        </w:rPr>
      </w:pPr>
      <w:r w:rsidRPr="004D23DE">
        <w:rPr>
          <w:rFonts w:ascii="Times New Roman" w:hAnsi="Times New Roman"/>
          <w:sz w:val="23"/>
          <w:szCs w:val="23"/>
        </w:rPr>
        <w:t xml:space="preserve">(dále jen </w:t>
      </w:r>
      <w:r w:rsidRPr="004D23DE">
        <w:rPr>
          <w:rFonts w:ascii="Times New Roman" w:hAnsi="Times New Roman"/>
          <w:b/>
          <w:bCs/>
          <w:i/>
          <w:iCs/>
          <w:sz w:val="23"/>
          <w:szCs w:val="23"/>
        </w:rPr>
        <w:t>„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kupující</w:t>
      </w:r>
      <w:r w:rsidRPr="004D23DE">
        <w:rPr>
          <w:rFonts w:ascii="Times New Roman" w:hAnsi="Times New Roman"/>
          <w:b/>
          <w:bCs/>
          <w:i/>
          <w:iCs/>
          <w:sz w:val="23"/>
          <w:szCs w:val="23"/>
        </w:rPr>
        <w:t>“</w:t>
      </w:r>
      <w:r w:rsidRPr="004D23DE">
        <w:rPr>
          <w:rFonts w:ascii="Times New Roman" w:hAnsi="Times New Roman"/>
          <w:sz w:val="23"/>
          <w:szCs w:val="23"/>
        </w:rPr>
        <w:t>)</w:t>
      </w:r>
    </w:p>
    <w:p w14:paraId="6675ED52" w14:textId="77777777" w:rsidR="00912C78" w:rsidRPr="004D23DE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rPr>
          <w:rFonts w:ascii="Times New Roman" w:hAnsi="Times New Roman"/>
          <w:sz w:val="23"/>
          <w:szCs w:val="23"/>
        </w:rPr>
      </w:pPr>
    </w:p>
    <w:p w14:paraId="551E4252" w14:textId="77777777" w:rsidR="00912C78" w:rsidRPr="004D23DE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rPr>
          <w:rFonts w:ascii="Times New Roman" w:hAnsi="Times New Roman"/>
          <w:sz w:val="23"/>
          <w:szCs w:val="23"/>
        </w:rPr>
      </w:pPr>
      <w:r w:rsidRPr="004D23DE">
        <w:rPr>
          <w:rFonts w:ascii="Times New Roman" w:hAnsi="Times New Roman"/>
          <w:sz w:val="23"/>
          <w:szCs w:val="23"/>
        </w:rPr>
        <w:t>a</w:t>
      </w:r>
    </w:p>
    <w:p w14:paraId="04E33456" w14:textId="77777777" w:rsidR="00912C78" w:rsidRPr="004D23DE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ind w:left="1065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14:paraId="1B5B73FA" w14:textId="77777777" w:rsidR="00912C78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F210EF">
        <w:rPr>
          <w:rFonts w:ascii="Times New Roman" w:hAnsi="Times New Roman"/>
          <w:b/>
          <w:sz w:val="23"/>
          <w:szCs w:val="23"/>
          <w:highlight w:val="yellow"/>
        </w:rPr>
        <w:t>[Doplnit]</w:t>
      </w:r>
      <w:r w:rsidRPr="00F210EF">
        <w:rPr>
          <w:rFonts w:ascii="Times New Roman" w:hAnsi="Times New Roman"/>
          <w:b/>
          <w:sz w:val="23"/>
          <w:szCs w:val="23"/>
        </w:rPr>
        <w:t xml:space="preserve"> </w:t>
      </w:r>
    </w:p>
    <w:p w14:paraId="1E7D0228" w14:textId="77777777" w:rsidR="00912C78" w:rsidRPr="00F210EF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4D23DE">
        <w:rPr>
          <w:rFonts w:ascii="Times New Roman" w:hAnsi="Times New Roman"/>
          <w:sz w:val="23"/>
          <w:szCs w:val="23"/>
        </w:rPr>
        <w:t xml:space="preserve">zastoupena </w:t>
      </w:r>
      <w:r w:rsidRPr="00F210EF">
        <w:rPr>
          <w:rFonts w:ascii="Times New Roman" w:hAnsi="Times New Roman"/>
          <w:b/>
          <w:sz w:val="23"/>
          <w:szCs w:val="23"/>
          <w:highlight w:val="yellow"/>
        </w:rPr>
        <w:t>[Doplnit]</w:t>
      </w:r>
      <w:r w:rsidRPr="00F210EF">
        <w:rPr>
          <w:rFonts w:ascii="Times New Roman" w:hAnsi="Times New Roman"/>
          <w:b/>
          <w:sz w:val="23"/>
          <w:szCs w:val="23"/>
        </w:rPr>
        <w:t xml:space="preserve"> </w:t>
      </w:r>
    </w:p>
    <w:p w14:paraId="3CC8852F" w14:textId="77777777" w:rsidR="00912C78" w:rsidRPr="00F210EF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4D23DE">
        <w:rPr>
          <w:rFonts w:ascii="Times New Roman" w:hAnsi="Times New Roman"/>
          <w:sz w:val="23"/>
          <w:szCs w:val="23"/>
        </w:rPr>
        <w:t xml:space="preserve">se sídlem </w:t>
      </w:r>
      <w:r w:rsidRPr="00F210EF">
        <w:rPr>
          <w:rFonts w:ascii="Times New Roman" w:hAnsi="Times New Roman"/>
          <w:b/>
          <w:sz w:val="23"/>
          <w:szCs w:val="23"/>
          <w:highlight w:val="yellow"/>
        </w:rPr>
        <w:t>[Doplnit]</w:t>
      </w:r>
      <w:r w:rsidRPr="00F210EF">
        <w:rPr>
          <w:rFonts w:ascii="Times New Roman" w:hAnsi="Times New Roman"/>
          <w:b/>
          <w:sz w:val="23"/>
          <w:szCs w:val="23"/>
        </w:rPr>
        <w:t xml:space="preserve"> </w:t>
      </w:r>
    </w:p>
    <w:p w14:paraId="73AA2EF1" w14:textId="77777777" w:rsidR="00912C78" w:rsidRPr="00F210EF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4D23DE">
        <w:rPr>
          <w:rFonts w:ascii="Times New Roman" w:hAnsi="Times New Roman"/>
          <w:sz w:val="23"/>
          <w:szCs w:val="23"/>
        </w:rPr>
        <w:t xml:space="preserve">IČO: </w:t>
      </w:r>
      <w:r w:rsidRPr="00F210EF">
        <w:rPr>
          <w:rFonts w:ascii="Times New Roman" w:hAnsi="Times New Roman"/>
          <w:b/>
          <w:sz w:val="23"/>
          <w:szCs w:val="23"/>
          <w:highlight w:val="yellow"/>
        </w:rPr>
        <w:t>[Doplnit]</w:t>
      </w:r>
      <w:r w:rsidRPr="00F210EF">
        <w:rPr>
          <w:rFonts w:ascii="Times New Roman" w:hAnsi="Times New Roman"/>
          <w:b/>
          <w:sz w:val="23"/>
          <w:szCs w:val="23"/>
        </w:rPr>
        <w:t xml:space="preserve"> </w:t>
      </w:r>
    </w:p>
    <w:p w14:paraId="62D7CFB5" w14:textId="77777777" w:rsidR="00912C78" w:rsidRPr="00F210EF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4D23DE">
        <w:rPr>
          <w:rFonts w:ascii="Times New Roman" w:hAnsi="Times New Roman"/>
          <w:sz w:val="23"/>
          <w:szCs w:val="23"/>
        </w:rPr>
        <w:t xml:space="preserve">DIČ: </w:t>
      </w:r>
      <w:r w:rsidRPr="00F210EF">
        <w:rPr>
          <w:rFonts w:ascii="Times New Roman" w:hAnsi="Times New Roman"/>
          <w:b/>
          <w:sz w:val="23"/>
          <w:szCs w:val="23"/>
          <w:highlight w:val="yellow"/>
        </w:rPr>
        <w:t>[Doplnit]</w:t>
      </w:r>
      <w:r w:rsidRPr="00F210EF">
        <w:rPr>
          <w:rFonts w:ascii="Times New Roman" w:hAnsi="Times New Roman"/>
          <w:b/>
          <w:sz w:val="23"/>
          <w:szCs w:val="23"/>
        </w:rPr>
        <w:t xml:space="preserve"> </w:t>
      </w:r>
    </w:p>
    <w:p w14:paraId="0C482BD9" w14:textId="77777777" w:rsidR="00912C78" w:rsidRPr="00F210EF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4D23DE">
        <w:rPr>
          <w:rFonts w:ascii="Times New Roman" w:hAnsi="Times New Roman"/>
          <w:sz w:val="23"/>
          <w:szCs w:val="23"/>
        </w:rPr>
        <w:t>Bankovní spojení:</w:t>
      </w:r>
      <w:r w:rsidRPr="00F210EF">
        <w:rPr>
          <w:rFonts w:ascii="Times New Roman" w:hAnsi="Times New Roman"/>
          <w:b/>
          <w:sz w:val="23"/>
          <w:szCs w:val="23"/>
          <w:highlight w:val="yellow"/>
        </w:rPr>
        <w:t xml:space="preserve"> [Doplnit</w:t>
      </w:r>
      <w:proofErr w:type="gramStart"/>
      <w:r w:rsidRPr="00F210EF">
        <w:rPr>
          <w:rFonts w:ascii="Times New Roman" w:hAnsi="Times New Roman"/>
          <w:b/>
          <w:sz w:val="23"/>
          <w:szCs w:val="23"/>
          <w:highlight w:val="yellow"/>
        </w:rPr>
        <w:t>]</w:t>
      </w:r>
      <w:r w:rsidRPr="00F210EF">
        <w:rPr>
          <w:rFonts w:ascii="Times New Roman" w:hAnsi="Times New Roman"/>
          <w:b/>
          <w:sz w:val="23"/>
          <w:szCs w:val="23"/>
        </w:rPr>
        <w:t xml:space="preserve"> </w:t>
      </w:r>
      <w:r w:rsidRPr="004D23DE">
        <w:rPr>
          <w:rFonts w:ascii="Times New Roman" w:hAnsi="Times New Roman"/>
          <w:sz w:val="23"/>
          <w:szCs w:val="23"/>
        </w:rPr>
        <w:t>,</w:t>
      </w:r>
      <w:proofErr w:type="gramEnd"/>
      <w:r w:rsidRPr="004D23DE">
        <w:rPr>
          <w:rFonts w:ascii="Times New Roman" w:hAnsi="Times New Roman"/>
          <w:sz w:val="23"/>
          <w:szCs w:val="23"/>
        </w:rPr>
        <w:t xml:space="preserve"> č. účtu</w:t>
      </w:r>
      <w:r>
        <w:rPr>
          <w:rFonts w:ascii="Times New Roman" w:hAnsi="Times New Roman"/>
          <w:sz w:val="23"/>
          <w:szCs w:val="23"/>
        </w:rPr>
        <w:t xml:space="preserve">: </w:t>
      </w:r>
      <w:r w:rsidRPr="00F210EF">
        <w:rPr>
          <w:rFonts w:ascii="Times New Roman" w:hAnsi="Times New Roman"/>
          <w:b/>
          <w:sz w:val="23"/>
          <w:szCs w:val="23"/>
          <w:highlight w:val="yellow"/>
        </w:rPr>
        <w:t>[Doplnit]</w:t>
      </w:r>
      <w:r w:rsidRPr="00F210EF">
        <w:rPr>
          <w:rFonts w:ascii="Times New Roman" w:hAnsi="Times New Roman"/>
          <w:b/>
          <w:sz w:val="23"/>
          <w:szCs w:val="23"/>
        </w:rPr>
        <w:t xml:space="preserve"> </w:t>
      </w:r>
    </w:p>
    <w:p w14:paraId="47C6D62F" w14:textId="77777777" w:rsidR="00912C78" w:rsidRPr="00F210EF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4D23DE">
        <w:rPr>
          <w:rFonts w:ascii="Times New Roman" w:hAnsi="Times New Roman"/>
          <w:sz w:val="23"/>
          <w:szCs w:val="23"/>
        </w:rPr>
        <w:t xml:space="preserve">e-mail: </w:t>
      </w:r>
      <w:r w:rsidRPr="00F210EF">
        <w:rPr>
          <w:rFonts w:ascii="Times New Roman" w:hAnsi="Times New Roman"/>
          <w:b/>
          <w:sz w:val="23"/>
          <w:szCs w:val="23"/>
          <w:highlight w:val="yellow"/>
        </w:rPr>
        <w:t>[Doplnit]</w:t>
      </w:r>
    </w:p>
    <w:p w14:paraId="3213A550" w14:textId="77777777" w:rsidR="00912C78" w:rsidRPr="00F8263C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4D23DE">
        <w:rPr>
          <w:rFonts w:ascii="Times New Roman" w:hAnsi="Times New Roman"/>
          <w:sz w:val="23"/>
          <w:szCs w:val="23"/>
        </w:rPr>
        <w:t xml:space="preserve">ID datové schránky: </w:t>
      </w:r>
      <w:r w:rsidRPr="00F210EF">
        <w:rPr>
          <w:rFonts w:ascii="Times New Roman" w:hAnsi="Times New Roman"/>
          <w:b/>
          <w:sz w:val="23"/>
          <w:szCs w:val="23"/>
          <w:highlight w:val="yellow"/>
        </w:rPr>
        <w:t>[Doplnit]</w:t>
      </w:r>
      <w:r w:rsidRPr="00F210EF">
        <w:rPr>
          <w:rFonts w:ascii="Times New Roman" w:hAnsi="Times New Roman"/>
          <w:b/>
          <w:sz w:val="23"/>
          <w:szCs w:val="23"/>
        </w:rPr>
        <w:t xml:space="preserve"> </w:t>
      </w:r>
    </w:p>
    <w:p w14:paraId="36B9B88B" w14:textId="77777777" w:rsidR="00912C78" w:rsidRPr="004D23DE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rPr>
          <w:rFonts w:ascii="Times New Roman" w:hAnsi="Times New Roman"/>
          <w:sz w:val="23"/>
          <w:szCs w:val="23"/>
        </w:rPr>
      </w:pPr>
      <w:r w:rsidRPr="004D23DE">
        <w:rPr>
          <w:rFonts w:ascii="Times New Roman" w:hAnsi="Times New Roman"/>
          <w:sz w:val="23"/>
          <w:szCs w:val="23"/>
        </w:rPr>
        <w:t xml:space="preserve">(dále jen </w:t>
      </w:r>
      <w:r w:rsidRPr="004D23DE">
        <w:rPr>
          <w:rFonts w:ascii="Times New Roman" w:hAnsi="Times New Roman"/>
          <w:b/>
          <w:bCs/>
          <w:i/>
          <w:iCs/>
          <w:sz w:val="23"/>
          <w:szCs w:val="23"/>
        </w:rPr>
        <w:t>„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prodávající</w:t>
      </w:r>
      <w:r w:rsidRPr="004D23DE">
        <w:rPr>
          <w:rFonts w:ascii="Times New Roman" w:hAnsi="Times New Roman"/>
          <w:b/>
          <w:bCs/>
          <w:i/>
          <w:iCs/>
          <w:sz w:val="23"/>
          <w:szCs w:val="23"/>
        </w:rPr>
        <w:t>“</w:t>
      </w:r>
      <w:r w:rsidRPr="004D23DE">
        <w:rPr>
          <w:rFonts w:ascii="Times New Roman" w:hAnsi="Times New Roman"/>
          <w:sz w:val="23"/>
          <w:szCs w:val="23"/>
        </w:rPr>
        <w:t>)</w:t>
      </w:r>
    </w:p>
    <w:p w14:paraId="0DE9751B" w14:textId="77777777" w:rsidR="00912C78" w:rsidRPr="004D23DE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rPr>
          <w:rFonts w:ascii="Times New Roman" w:hAnsi="Times New Roman"/>
          <w:sz w:val="23"/>
          <w:szCs w:val="23"/>
        </w:rPr>
      </w:pPr>
    </w:p>
    <w:p w14:paraId="503E40A9" w14:textId="77777777" w:rsidR="00912C78" w:rsidRPr="004D23DE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jc w:val="both"/>
        <w:rPr>
          <w:rFonts w:ascii="Times New Roman" w:hAnsi="Times New Roman"/>
          <w:i/>
          <w:iCs/>
          <w:sz w:val="23"/>
          <w:szCs w:val="23"/>
        </w:rPr>
      </w:pPr>
      <w:r w:rsidRPr="004D23DE">
        <w:rPr>
          <w:rFonts w:ascii="Times New Roman" w:hAnsi="Times New Roman"/>
          <w:i/>
          <w:iCs/>
          <w:sz w:val="23"/>
          <w:szCs w:val="23"/>
        </w:rPr>
        <w:t>(</w:t>
      </w:r>
      <w:r>
        <w:rPr>
          <w:rFonts w:ascii="Times New Roman" w:hAnsi="Times New Roman"/>
          <w:i/>
          <w:iCs/>
          <w:sz w:val="23"/>
          <w:szCs w:val="23"/>
        </w:rPr>
        <w:t>kupující a prodávající</w:t>
      </w:r>
      <w:r w:rsidRPr="004D23DE">
        <w:rPr>
          <w:rFonts w:ascii="Times New Roman" w:hAnsi="Times New Roman"/>
          <w:i/>
          <w:iCs/>
          <w:sz w:val="23"/>
          <w:szCs w:val="23"/>
        </w:rPr>
        <w:t xml:space="preserve"> dále společně jen jako „smluvní strany“ nebo jednotlivě jako „smluvní strana“)</w:t>
      </w:r>
    </w:p>
    <w:p w14:paraId="7F43618B" w14:textId="77777777" w:rsidR="00912C78" w:rsidRPr="004D23DE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rPr>
          <w:rFonts w:ascii="Times New Roman" w:hAnsi="Times New Roman"/>
          <w:i/>
          <w:iCs/>
          <w:sz w:val="23"/>
          <w:szCs w:val="23"/>
        </w:rPr>
      </w:pPr>
    </w:p>
    <w:p w14:paraId="5701FCA4" w14:textId="77777777" w:rsidR="00912C78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rPr>
          <w:rFonts w:ascii="Times New Roman" w:hAnsi="Times New Roman"/>
          <w:sz w:val="23"/>
          <w:szCs w:val="23"/>
        </w:rPr>
      </w:pPr>
      <w:r w:rsidRPr="004D23DE">
        <w:rPr>
          <w:rFonts w:ascii="Times New Roman" w:hAnsi="Times New Roman"/>
          <w:sz w:val="23"/>
          <w:szCs w:val="23"/>
        </w:rPr>
        <w:t xml:space="preserve">uzavřeli níže uvedeného dne měsíce a roku </w:t>
      </w:r>
      <w:r w:rsidR="002357D8">
        <w:rPr>
          <w:rFonts w:ascii="Times New Roman" w:hAnsi="Times New Roman"/>
          <w:sz w:val="23"/>
          <w:szCs w:val="23"/>
        </w:rPr>
        <w:t xml:space="preserve">kupní </w:t>
      </w:r>
      <w:r w:rsidRPr="004D23DE">
        <w:rPr>
          <w:rFonts w:ascii="Times New Roman" w:hAnsi="Times New Roman"/>
          <w:sz w:val="23"/>
          <w:szCs w:val="23"/>
        </w:rPr>
        <w:t>smlouvu v tomto znění:</w:t>
      </w:r>
    </w:p>
    <w:p w14:paraId="02461632" w14:textId="77777777" w:rsidR="00912C78" w:rsidRPr="004D23DE" w:rsidRDefault="00912C78" w:rsidP="00912C7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rPr>
          <w:rFonts w:ascii="Times New Roman" w:hAnsi="Times New Roman"/>
          <w:sz w:val="23"/>
          <w:szCs w:val="23"/>
        </w:rPr>
      </w:pPr>
    </w:p>
    <w:p w14:paraId="55CE1DE1" w14:textId="77777777" w:rsidR="00912C78" w:rsidRPr="004D23DE" w:rsidRDefault="00912C78" w:rsidP="002357D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contextualSpacing/>
        <w:jc w:val="center"/>
        <w:rPr>
          <w:rFonts w:ascii="Times New Roman" w:hAnsi="Times New Roman"/>
          <w:b/>
          <w:bCs/>
          <w:sz w:val="23"/>
          <w:szCs w:val="23"/>
        </w:rPr>
      </w:pPr>
      <w:r w:rsidRPr="004D23DE">
        <w:rPr>
          <w:rFonts w:ascii="Times New Roman" w:hAnsi="Times New Roman"/>
          <w:b/>
          <w:bCs/>
          <w:sz w:val="23"/>
          <w:szCs w:val="23"/>
        </w:rPr>
        <w:t>Čl. I.</w:t>
      </w:r>
    </w:p>
    <w:p w14:paraId="5F5D36E7" w14:textId="77777777" w:rsidR="00912C78" w:rsidRPr="004D23DE" w:rsidRDefault="00912C78" w:rsidP="002357D8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4D23DE">
        <w:rPr>
          <w:rFonts w:ascii="Times New Roman" w:hAnsi="Times New Roman"/>
          <w:b/>
          <w:bCs/>
          <w:sz w:val="23"/>
          <w:szCs w:val="23"/>
        </w:rPr>
        <w:t>Předmět smlouvy</w:t>
      </w:r>
    </w:p>
    <w:p w14:paraId="1610178F" w14:textId="77777777" w:rsidR="001A4F22" w:rsidRPr="00912C78" w:rsidRDefault="00912C78" w:rsidP="002819E0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</w:pPr>
      <w:r w:rsidRPr="00912C78">
        <w:rPr>
          <w:rFonts w:ascii="Times New Roman" w:hAnsi="Times New Roman"/>
          <w:sz w:val="23"/>
          <w:szCs w:val="23"/>
        </w:rPr>
        <w:t>Tato smlouva je uzavřena na základě výběru dodavatele na veřejnou zakázku malého rozsahu „</w:t>
      </w:r>
      <w:r w:rsidR="002819E0" w:rsidRPr="002819E0">
        <w:rPr>
          <w:rFonts w:ascii="Times New Roman" w:hAnsi="Times New Roman"/>
          <w:i/>
          <w:sz w:val="23"/>
          <w:szCs w:val="23"/>
        </w:rPr>
        <w:t>Dodávka požárního přívěsu pro hašení – brzděný nad 750 Kg, včetně požární přenosné motorové stříkačky</w:t>
      </w:r>
      <w:r w:rsidRPr="00912C78">
        <w:rPr>
          <w:rFonts w:ascii="Times New Roman" w:hAnsi="Times New Roman"/>
          <w:sz w:val="23"/>
          <w:szCs w:val="23"/>
        </w:rPr>
        <w:t xml:space="preserve">“. Smluvní strany jsou vázány zadávacími podmínkami uvedenými ve výzvě k podání nabídek a přijatou nabídkou prodávajícího na tuto veřejnou zakázku malého rozsahu. Nabídka prodávajícího </w:t>
      </w:r>
      <w:proofErr w:type="gramStart"/>
      <w:r w:rsidRPr="00912C78">
        <w:rPr>
          <w:rFonts w:ascii="Times New Roman" w:hAnsi="Times New Roman"/>
          <w:sz w:val="23"/>
          <w:szCs w:val="23"/>
        </w:rPr>
        <w:t>tvoří</w:t>
      </w:r>
      <w:proofErr w:type="gramEnd"/>
      <w:r w:rsidRPr="00912C78">
        <w:rPr>
          <w:rFonts w:ascii="Times New Roman" w:hAnsi="Times New Roman"/>
          <w:sz w:val="23"/>
          <w:szCs w:val="23"/>
        </w:rPr>
        <w:t xml:space="preserve"> přílohu č. 1 této smlouvy</w:t>
      </w:r>
      <w:r>
        <w:rPr>
          <w:rFonts w:ascii="Times New Roman" w:hAnsi="Times New Roman"/>
          <w:sz w:val="23"/>
          <w:szCs w:val="23"/>
        </w:rPr>
        <w:t>.</w:t>
      </w:r>
    </w:p>
    <w:p w14:paraId="0264820C" w14:textId="77777777" w:rsidR="00912C78" w:rsidRPr="009F5CF8" w:rsidRDefault="00912C78" w:rsidP="002819E0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</w:pPr>
      <w:r>
        <w:rPr>
          <w:rFonts w:ascii="Times New Roman" w:hAnsi="Times New Roman"/>
          <w:sz w:val="23"/>
          <w:szCs w:val="23"/>
        </w:rPr>
        <w:t>Prodávající se na základě této kupní smlouvy zavazuje kupujícímu dodat</w:t>
      </w:r>
      <w:r w:rsidR="009F5CF8">
        <w:rPr>
          <w:rFonts w:ascii="Times New Roman" w:hAnsi="Times New Roman"/>
          <w:sz w:val="23"/>
          <w:szCs w:val="23"/>
        </w:rPr>
        <w:t xml:space="preserve"> </w:t>
      </w:r>
      <w:r w:rsidR="002819E0">
        <w:rPr>
          <w:rFonts w:ascii="Times New Roman" w:hAnsi="Times New Roman"/>
          <w:sz w:val="23"/>
          <w:szCs w:val="23"/>
        </w:rPr>
        <w:t>požární</w:t>
      </w:r>
      <w:r w:rsidR="002819E0" w:rsidRPr="002819E0">
        <w:rPr>
          <w:rFonts w:ascii="Times New Roman" w:hAnsi="Times New Roman"/>
          <w:sz w:val="23"/>
          <w:szCs w:val="23"/>
        </w:rPr>
        <w:t xml:space="preserve"> přívěs pro hašení – brzděný nad </w:t>
      </w:r>
      <w:proofErr w:type="gramStart"/>
      <w:r w:rsidR="002819E0" w:rsidRPr="002819E0">
        <w:rPr>
          <w:rFonts w:ascii="Times New Roman" w:hAnsi="Times New Roman"/>
          <w:sz w:val="23"/>
          <w:szCs w:val="23"/>
        </w:rPr>
        <w:t>750kg</w:t>
      </w:r>
      <w:proofErr w:type="gramEnd"/>
      <w:r w:rsidR="002819E0" w:rsidRPr="002819E0">
        <w:rPr>
          <w:rFonts w:ascii="Times New Roman" w:hAnsi="Times New Roman"/>
          <w:sz w:val="23"/>
          <w:szCs w:val="23"/>
        </w:rPr>
        <w:t>, včetně požární přenosné motorové stříkačky</w:t>
      </w:r>
      <w:r w:rsidR="009F5CF8">
        <w:rPr>
          <w:rFonts w:ascii="Times New Roman" w:hAnsi="Times New Roman"/>
          <w:sz w:val="23"/>
          <w:szCs w:val="23"/>
        </w:rPr>
        <w:t>, přičemž detailní technické parametry jsou blíže specifikovány v technické dokumentaci</w:t>
      </w:r>
      <w:r w:rsidR="009366A9">
        <w:rPr>
          <w:rFonts w:ascii="Times New Roman" w:hAnsi="Times New Roman"/>
          <w:sz w:val="23"/>
          <w:szCs w:val="23"/>
        </w:rPr>
        <w:t xml:space="preserve"> – </w:t>
      </w:r>
      <w:r w:rsidR="002819E0" w:rsidRPr="008B258A">
        <w:rPr>
          <w:rFonts w:ascii="Times New Roman" w:hAnsi="Times New Roman" w:cs="Times New Roman"/>
          <w:sz w:val="23"/>
          <w:szCs w:val="23"/>
        </w:rPr>
        <w:t>Technické podmínky pro požární přívěs pro hašení – brzděný nad 750 kg</w:t>
      </w:r>
      <w:r w:rsidR="009F5CF8">
        <w:rPr>
          <w:rFonts w:ascii="Times New Roman" w:hAnsi="Times New Roman"/>
          <w:sz w:val="23"/>
          <w:szCs w:val="23"/>
        </w:rPr>
        <w:t>, kter</w:t>
      </w:r>
      <w:r w:rsidR="001D7F81">
        <w:rPr>
          <w:rFonts w:ascii="Times New Roman" w:hAnsi="Times New Roman"/>
          <w:sz w:val="23"/>
          <w:szCs w:val="23"/>
        </w:rPr>
        <w:t>á</w:t>
      </w:r>
      <w:r w:rsidR="009F5CF8">
        <w:rPr>
          <w:rFonts w:ascii="Times New Roman" w:hAnsi="Times New Roman"/>
          <w:sz w:val="23"/>
          <w:szCs w:val="23"/>
        </w:rPr>
        <w:t xml:space="preserve"> je přílohou</w:t>
      </w:r>
      <w:r w:rsidR="00B76145">
        <w:rPr>
          <w:rFonts w:ascii="Times New Roman" w:hAnsi="Times New Roman"/>
          <w:sz w:val="23"/>
          <w:szCs w:val="23"/>
        </w:rPr>
        <w:t xml:space="preserve"> </w:t>
      </w:r>
      <w:r w:rsidR="009F5CF8">
        <w:rPr>
          <w:rFonts w:ascii="Times New Roman" w:hAnsi="Times New Roman"/>
          <w:sz w:val="23"/>
          <w:szCs w:val="23"/>
        </w:rPr>
        <w:t xml:space="preserve">č. 2 této </w:t>
      </w:r>
      <w:r w:rsidR="009F5CF8">
        <w:rPr>
          <w:rFonts w:ascii="Times New Roman" w:hAnsi="Times New Roman"/>
          <w:sz w:val="23"/>
          <w:szCs w:val="23"/>
        </w:rPr>
        <w:lastRenderedPageBreak/>
        <w:t>smlouvy</w:t>
      </w:r>
      <w:r w:rsidR="004A4161">
        <w:rPr>
          <w:rFonts w:ascii="Times New Roman" w:hAnsi="Times New Roman"/>
          <w:sz w:val="23"/>
          <w:szCs w:val="23"/>
        </w:rPr>
        <w:t>, navíc přenosná motorová stříkačka obsahuje čtyřtaktní motor a zobrazovací display</w:t>
      </w:r>
      <w:r w:rsidR="009F5CF8">
        <w:rPr>
          <w:rFonts w:ascii="Times New Roman" w:hAnsi="Times New Roman"/>
          <w:sz w:val="23"/>
          <w:szCs w:val="23"/>
        </w:rPr>
        <w:t xml:space="preserve"> (dále jen „</w:t>
      </w:r>
      <w:r w:rsidR="009F5CF8">
        <w:rPr>
          <w:rFonts w:ascii="Times New Roman" w:hAnsi="Times New Roman"/>
          <w:i/>
          <w:sz w:val="23"/>
          <w:szCs w:val="23"/>
        </w:rPr>
        <w:t>Předmět koupě“)</w:t>
      </w:r>
      <w:r w:rsidR="009F5CF8">
        <w:rPr>
          <w:rFonts w:ascii="Times New Roman" w:hAnsi="Times New Roman"/>
          <w:sz w:val="23"/>
          <w:szCs w:val="23"/>
        </w:rPr>
        <w:t xml:space="preserve">. </w:t>
      </w:r>
    </w:p>
    <w:p w14:paraId="64DDC991" w14:textId="77777777" w:rsidR="004B72D2" w:rsidRPr="004B72D2" w:rsidRDefault="004B72D2" w:rsidP="004B72D2">
      <w:pPr>
        <w:pStyle w:val="Default"/>
        <w:numPr>
          <w:ilvl w:val="1"/>
          <w:numId w:val="2"/>
        </w:numPr>
        <w:spacing w:after="120" w:line="276" w:lineRule="auto"/>
        <w:ind w:left="567" w:hanging="567"/>
        <w:jc w:val="both"/>
        <w:rPr>
          <w:sz w:val="23"/>
          <w:szCs w:val="23"/>
        </w:rPr>
      </w:pPr>
      <w:r w:rsidRPr="000B2F04">
        <w:rPr>
          <w:sz w:val="23"/>
          <w:szCs w:val="23"/>
        </w:rPr>
        <w:t>Prodávající je povinen dodat kupujícímu nové</w:t>
      </w:r>
      <w:r>
        <w:rPr>
          <w:sz w:val="23"/>
          <w:szCs w:val="23"/>
        </w:rPr>
        <w:t xml:space="preserve"> nepoužité</w:t>
      </w:r>
      <w:r w:rsidRPr="000B2F04">
        <w:rPr>
          <w:sz w:val="23"/>
          <w:szCs w:val="23"/>
        </w:rPr>
        <w:t xml:space="preserve"> zboží v dohodnutém množství, jakosti a provedení, které je prodávající povinen př</w:t>
      </w:r>
      <w:r>
        <w:rPr>
          <w:sz w:val="23"/>
          <w:szCs w:val="23"/>
        </w:rPr>
        <w:t>edložit v souladu se specifikacemi</w:t>
      </w:r>
      <w:r w:rsidRPr="000B2F04">
        <w:rPr>
          <w:sz w:val="23"/>
          <w:szCs w:val="23"/>
        </w:rPr>
        <w:t xml:space="preserve"> technických a</w:t>
      </w:r>
      <w:r>
        <w:rPr>
          <w:sz w:val="23"/>
          <w:szCs w:val="23"/>
        </w:rPr>
        <w:t xml:space="preserve"> </w:t>
      </w:r>
      <w:r w:rsidRPr="000B2F04">
        <w:rPr>
          <w:sz w:val="23"/>
          <w:szCs w:val="23"/>
        </w:rPr>
        <w:t>uživatelských standardů.</w:t>
      </w:r>
    </w:p>
    <w:p w14:paraId="2B8ABD42" w14:textId="77777777" w:rsidR="009F5CF8" w:rsidRPr="009F5CF8" w:rsidRDefault="009F5CF8" w:rsidP="00061F04">
      <w:pPr>
        <w:pStyle w:val="Odstavecseseznamem"/>
        <w:numPr>
          <w:ilvl w:val="1"/>
          <w:numId w:val="2"/>
        </w:numPr>
        <w:spacing w:after="360"/>
        <w:ind w:left="567" w:hanging="567"/>
        <w:contextualSpacing w:val="0"/>
        <w:jc w:val="both"/>
      </w:pPr>
      <w:r>
        <w:rPr>
          <w:rFonts w:ascii="Times New Roman" w:hAnsi="Times New Roman"/>
          <w:sz w:val="23"/>
          <w:szCs w:val="23"/>
        </w:rPr>
        <w:t>Kupující se zavazuje předmět koupě převzít a řádně a včas zaplatit prodávajícímu sjednanou kupní cenu uvedenou v čl. II. této kupní smlouvy.</w:t>
      </w:r>
    </w:p>
    <w:p w14:paraId="048B67F2" w14:textId="77777777" w:rsidR="009F5CF8" w:rsidRPr="009F5CF8" w:rsidRDefault="009F5CF8" w:rsidP="00061F04">
      <w:pPr>
        <w:pStyle w:val="Odstavecseseznamem"/>
        <w:spacing w:after="120"/>
        <w:ind w:left="0"/>
        <w:jc w:val="center"/>
        <w:rPr>
          <w:rFonts w:ascii="Times New Roman" w:hAnsi="Times New Roman"/>
          <w:b/>
          <w:sz w:val="23"/>
          <w:szCs w:val="23"/>
        </w:rPr>
      </w:pPr>
      <w:r w:rsidRPr="009F5CF8">
        <w:rPr>
          <w:rFonts w:ascii="Times New Roman" w:hAnsi="Times New Roman"/>
          <w:b/>
          <w:sz w:val="23"/>
          <w:szCs w:val="23"/>
        </w:rPr>
        <w:t>Čl. II.</w:t>
      </w:r>
    </w:p>
    <w:p w14:paraId="731F4FA8" w14:textId="77777777" w:rsidR="009F5CF8" w:rsidRDefault="009F5CF8" w:rsidP="002357D8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  <w:sz w:val="23"/>
          <w:szCs w:val="23"/>
        </w:rPr>
      </w:pPr>
      <w:r w:rsidRPr="009F5CF8">
        <w:rPr>
          <w:rFonts w:ascii="Times New Roman" w:hAnsi="Times New Roman"/>
          <w:b/>
          <w:sz w:val="23"/>
          <w:szCs w:val="23"/>
        </w:rPr>
        <w:t>Kupní cena</w:t>
      </w:r>
    </w:p>
    <w:p w14:paraId="133FC856" w14:textId="77777777" w:rsidR="009F5CF8" w:rsidRDefault="009F5CF8" w:rsidP="002357D8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762AC">
        <w:rPr>
          <w:rFonts w:ascii="Times New Roman" w:hAnsi="Times New Roman" w:cs="Times New Roman"/>
          <w:color w:val="000000"/>
          <w:sz w:val="23"/>
          <w:szCs w:val="23"/>
        </w:rPr>
        <w:t xml:space="preserve">Kupní cena je sjednána v souladu s nabídkou </w:t>
      </w:r>
      <w:r>
        <w:rPr>
          <w:rFonts w:ascii="Times New Roman" w:hAnsi="Times New Roman" w:cs="Times New Roman"/>
          <w:color w:val="000000"/>
          <w:sz w:val="23"/>
          <w:szCs w:val="23"/>
        </w:rPr>
        <w:t>prodávajícího</w:t>
      </w:r>
      <w:r w:rsidRPr="009762AC">
        <w:rPr>
          <w:rFonts w:ascii="Times New Roman" w:hAnsi="Times New Roman" w:cs="Times New Roman"/>
          <w:color w:val="000000"/>
          <w:sz w:val="23"/>
          <w:szCs w:val="23"/>
        </w:rPr>
        <w:t xml:space="preserve"> do veřejné zakázky „</w:t>
      </w:r>
      <w:r w:rsidR="002819E0" w:rsidRPr="002819E0">
        <w:rPr>
          <w:rFonts w:ascii="Times New Roman" w:hAnsi="Times New Roman"/>
          <w:i/>
          <w:sz w:val="23"/>
          <w:szCs w:val="23"/>
        </w:rPr>
        <w:t>Dodávka požárního přívěsu pro hašení – brzděný nad 750 Kg, včetně požární přenosné motorové stříkačky</w:t>
      </w:r>
      <w:r w:rsidRPr="009762AC">
        <w:rPr>
          <w:rFonts w:ascii="Times New Roman" w:hAnsi="Times New Roman" w:cs="Times New Roman"/>
          <w:color w:val="000000"/>
          <w:sz w:val="23"/>
          <w:szCs w:val="23"/>
        </w:rPr>
        <w:t>“ ve výši [</w:t>
      </w:r>
      <w:r w:rsidRPr="00976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Doplnit</w:t>
      </w:r>
      <w:r w:rsidR="006E5C56"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Pr="009762AC">
        <w:rPr>
          <w:rFonts w:ascii="Times New Roman" w:hAnsi="Times New Roman" w:cs="Times New Roman"/>
          <w:color w:val="000000"/>
          <w:sz w:val="23"/>
          <w:szCs w:val="23"/>
        </w:rPr>
        <w:t xml:space="preserve"> Kč bez DPH (slovy: [</w:t>
      </w:r>
      <w:r w:rsidRPr="00976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Doplnit</w:t>
      </w:r>
      <w:r w:rsidRPr="009762AC">
        <w:rPr>
          <w:rFonts w:ascii="Times New Roman" w:hAnsi="Times New Roman" w:cs="Times New Roman"/>
          <w:color w:val="000000"/>
          <w:sz w:val="23"/>
          <w:szCs w:val="23"/>
        </w:rPr>
        <w:t>]), tj. ve výši [</w:t>
      </w:r>
      <w:r w:rsidRPr="00976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Doplnit</w:t>
      </w:r>
      <w:r w:rsidR="006E5C56"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Pr="009762AC">
        <w:rPr>
          <w:rFonts w:ascii="Times New Roman" w:hAnsi="Times New Roman" w:cs="Times New Roman"/>
          <w:color w:val="000000"/>
          <w:sz w:val="23"/>
          <w:szCs w:val="23"/>
        </w:rPr>
        <w:t xml:space="preserve"> Kč včetně 21 % DPH (slovy: [</w:t>
      </w:r>
      <w:r w:rsidRPr="00976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Doplnit</w:t>
      </w:r>
      <w:r w:rsidRPr="009762AC">
        <w:rPr>
          <w:rFonts w:ascii="Times New Roman" w:hAnsi="Times New Roman" w:cs="Times New Roman"/>
          <w:color w:val="000000"/>
          <w:sz w:val="23"/>
          <w:szCs w:val="23"/>
        </w:rPr>
        <w:t xml:space="preserve">]). </w:t>
      </w:r>
    </w:p>
    <w:p w14:paraId="10F538BA" w14:textId="77777777" w:rsidR="00E04D9A" w:rsidRDefault="00E04D9A" w:rsidP="002357D8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762AC">
        <w:rPr>
          <w:rFonts w:ascii="Times New Roman" w:hAnsi="Times New Roman" w:cs="Times New Roman"/>
          <w:color w:val="000000"/>
          <w:sz w:val="23"/>
          <w:szCs w:val="23"/>
        </w:rPr>
        <w:t xml:space="preserve">Smluvní strany se dohodly, že kupující </w:t>
      </w:r>
      <w:r w:rsidR="006E5C56">
        <w:rPr>
          <w:rFonts w:ascii="Times New Roman" w:hAnsi="Times New Roman" w:cs="Times New Roman"/>
          <w:color w:val="000000"/>
          <w:sz w:val="23"/>
          <w:szCs w:val="23"/>
        </w:rPr>
        <w:t>zaplatí</w:t>
      </w:r>
      <w:r w:rsidRPr="009762AC">
        <w:rPr>
          <w:rFonts w:ascii="Times New Roman" w:hAnsi="Times New Roman" w:cs="Times New Roman"/>
          <w:color w:val="000000"/>
          <w:sz w:val="23"/>
          <w:szCs w:val="23"/>
        </w:rPr>
        <w:t xml:space="preserve"> kupní cenu za předmět koupě na základě da</w:t>
      </w:r>
      <w:r>
        <w:rPr>
          <w:rFonts w:ascii="Times New Roman" w:hAnsi="Times New Roman" w:cs="Times New Roman"/>
          <w:color w:val="000000"/>
          <w:sz w:val="23"/>
          <w:szCs w:val="23"/>
        </w:rPr>
        <w:t>ňového dokladu (faktury) vystave</w:t>
      </w:r>
      <w:r w:rsidRPr="009762AC">
        <w:rPr>
          <w:rFonts w:ascii="Times New Roman" w:hAnsi="Times New Roman" w:cs="Times New Roman"/>
          <w:color w:val="000000"/>
          <w:sz w:val="23"/>
          <w:szCs w:val="23"/>
        </w:rPr>
        <w:t>né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ho prodávajícím. Tento daňový doklad (fakturu) je prodávající oprávněn vystavit nejdříve po protokolárním předání předmětu koupě </w:t>
      </w:r>
      <w:r w:rsidR="006E5C56">
        <w:rPr>
          <w:rFonts w:ascii="Times New Roman" w:hAnsi="Times New Roman" w:cs="Times New Roman"/>
          <w:color w:val="000000"/>
          <w:sz w:val="23"/>
          <w:szCs w:val="23"/>
        </w:rPr>
        <w:t>kupujícímu.</w:t>
      </w:r>
    </w:p>
    <w:p w14:paraId="2A8DF4DD" w14:textId="77777777" w:rsidR="00E04D9A" w:rsidRPr="009762AC" w:rsidRDefault="00E04D9A" w:rsidP="002357D8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762AC">
        <w:rPr>
          <w:rFonts w:ascii="Times New Roman" w:hAnsi="Times New Roman" w:cs="Times New Roman"/>
          <w:color w:val="000000"/>
          <w:sz w:val="23"/>
          <w:szCs w:val="23"/>
        </w:rPr>
        <w:t>Splatnost částky v daňovém dokladu (faktuře) bude činit minimálně 21 (</w:t>
      </w:r>
      <w:r w:rsidRPr="00966F01">
        <w:rPr>
          <w:rFonts w:ascii="Times New Roman" w:hAnsi="Times New Roman" w:cs="Times New Roman"/>
          <w:i/>
          <w:color w:val="000000"/>
          <w:sz w:val="23"/>
          <w:szCs w:val="23"/>
        </w:rPr>
        <w:t>slovy: dvacet jedna</w:t>
      </w:r>
      <w:r w:rsidRPr="009762AC">
        <w:rPr>
          <w:rFonts w:ascii="Times New Roman" w:hAnsi="Times New Roman" w:cs="Times New Roman"/>
          <w:color w:val="000000"/>
          <w:sz w:val="23"/>
          <w:szCs w:val="23"/>
        </w:rPr>
        <w:t xml:space="preserve">) dnů ode dne jejího doručení kupujícímu. Námitky proti údajům uvedeným ve faktuře může kupující vůči </w:t>
      </w:r>
      <w:r>
        <w:rPr>
          <w:rFonts w:ascii="Times New Roman" w:hAnsi="Times New Roman" w:cs="Times New Roman"/>
          <w:color w:val="000000"/>
          <w:sz w:val="23"/>
          <w:szCs w:val="23"/>
        </w:rPr>
        <w:t>prodávajícímu</w:t>
      </w:r>
      <w:r w:rsidRPr="009762AC">
        <w:rPr>
          <w:rFonts w:ascii="Times New Roman" w:hAnsi="Times New Roman" w:cs="Times New Roman"/>
          <w:color w:val="000000"/>
          <w:sz w:val="23"/>
          <w:szCs w:val="23"/>
        </w:rPr>
        <w:t xml:space="preserve"> s uvedením konkrétních výhrad uplatnit do konce lhůty její splatnosti. Od okamžiku doručení opravené faktury kupujícímu </w:t>
      </w:r>
      <w:proofErr w:type="gramStart"/>
      <w:r w:rsidRPr="009762AC">
        <w:rPr>
          <w:rFonts w:ascii="Times New Roman" w:hAnsi="Times New Roman" w:cs="Times New Roman"/>
          <w:color w:val="000000"/>
          <w:sz w:val="23"/>
          <w:szCs w:val="23"/>
        </w:rPr>
        <w:t>běží</w:t>
      </w:r>
      <w:proofErr w:type="gramEnd"/>
      <w:r w:rsidRPr="009762AC">
        <w:rPr>
          <w:rFonts w:ascii="Times New Roman" w:hAnsi="Times New Roman" w:cs="Times New Roman"/>
          <w:color w:val="000000"/>
          <w:sz w:val="23"/>
          <w:szCs w:val="23"/>
        </w:rPr>
        <w:t xml:space="preserve"> nová lhůta pro zaplacení faktury, znovu minimálně 21 </w:t>
      </w:r>
      <w:r w:rsidRPr="006E5C56">
        <w:rPr>
          <w:rFonts w:ascii="Times New Roman" w:hAnsi="Times New Roman" w:cs="Times New Roman"/>
          <w:i/>
          <w:color w:val="000000"/>
          <w:sz w:val="23"/>
          <w:szCs w:val="23"/>
        </w:rPr>
        <w:t>(slovy: dvacet jedna)</w:t>
      </w:r>
      <w:r w:rsidRPr="009762AC">
        <w:rPr>
          <w:rFonts w:ascii="Times New Roman" w:hAnsi="Times New Roman" w:cs="Times New Roman"/>
          <w:color w:val="000000"/>
          <w:sz w:val="23"/>
          <w:szCs w:val="23"/>
        </w:rPr>
        <w:t xml:space="preserve"> dnů ode dne doručení opravené faktury kupujícímu. </w:t>
      </w:r>
    </w:p>
    <w:p w14:paraId="22F78C17" w14:textId="77777777" w:rsidR="00E04D9A" w:rsidRPr="009762AC" w:rsidRDefault="00E04D9A" w:rsidP="002357D8">
      <w:pPr>
        <w:pStyle w:val="Odstavecseseznamem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762AC">
        <w:rPr>
          <w:rFonts w:ascii="Times New Roman" w:hAnsi="Times New Roman" w:cs="Times New Roman"/>
          <w:color w:val="000000"/>
          <w:sz w:val="23"/>
          <w:szCs w:val="23"/>
        </w:rPr>
        <w:t xml:space="preserve">Kupní cena bude zaplacena ve lhůtě stanovené daňovým dokladem, bezhotovostním převodem na bankovní účet prodávajícího, který je uveden v záhlaví této smlouvy. </w:t>
      </w:r>
    </w:p>
    <w:p w14:paraId="0DC624FA" w14:textId="77777777" w:rsidR="00E04D9A" w:rsidRDefault="00E04D9A" w:rsidP="006E5C56">
      <w:pPr>
        <w:pStyle w:val="Odstavecseseznamem"/>
        <w:numPr>
          <w:ilvl w:val="0"/>
          <w:numId w:val="4"/>
        </w:numPr>
        <w:spacing w:after="360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762AC">
        <w:rPr>
          <w:rFonts w:ascii="Times New Roman" w:hAnsi="Times New Roman" w:cs="Times New Roman"/>
          <w:color w:val="000000"/>
          <w:sz w:val="23"/>
          <w:szCs w:val="23"/>
        </w:rPr>
        <w:t>Vystaven</w:t>
      </w:r>
      <w:r>
        <w:rPr>
          <w:rFonts w:ascii="Times New Roman" w:hAnsi="Times New Roman" w:cs="Times New Roman"/>
          <w:color w:val="000000"/>
          <w:sz w:val="23"/>
          <w:szCs w:val="23"/>
        </w:rPr>
        <w:t>é</w:t>
      </w:r>
      <w:r w:rsidRPr="009762AC">
        <w:rPr>
          <w:rFonts w:ascii="Times New Roman" w:hAnsi="Times New Roman" w:cs="Times New Roman"/>
          <w:color w:val="000000"/>
          <w:sz w:val="23"/>
          <w:szCs w:val="23"/>
        </w:rPr>
        <w:t xml:space="preserve"> faktur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Pr="009762AC">
        <w:rPr>
          <w:rFonts w:ascii="Times New Roman" w:hAnsi="Times New Roman" w:cs="Times New Roman"/>
          <w:color w:val="000000"/>
          <w:sz w:val="23"/>
          <w:szCs w:val="23"/>
        </w:rPr>
        <w:t xml:space="preserve"> musí obsahovat náležitosti daňového dokladu zejména podle zákona </w:t>
      </w:r>
      <w:r w:rsidR="006E5C56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r w:rsidRPr="009762AC">
        <w:rPr>
          <w:rFonts w:ascii="Times New Roman" w:hAnsi="Times New Roman" w:cs="Times New Roman"/>
          <w:color w:val="000000"/>
          <w:sz w:val="23"/>
          <w:szCs w:val="23"/>
        </w:rPr>
        <w:t>č. 235/2004 Sb., o dani z přidané hodnoty, ve znění pozdějších předpisů.</w:t>
      </w:r>
    </w:p>
    <w:p w14:paraId="05853D67" w14:textId="77777777" w:rsidR="00E04D9A" w:rsidRPr="0044294E" w:rsidRDefault="00E04D9A" w:rsidP="006E5C56">
      <w:pPr>
        <w:pStyle w:val="Odstavecseseznamem"/>
        <w:spacing w:after="120"/>
        <w:ind w:left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4294E">
        <w:rPr>
          <w:rFonts w:ascii="Times New Roman" w:hAnsi="Times New Roman" w:cs="Times New Roman"/>
          <w:b/>
          <w:color w:val="000000"/>
          <w:sz w:val="23"/>
          <w:szCs w:val="23"/>
        </w:rPr>
        <w:t>Čl. III.</w:t>
      </w:r>
    </w:p>
    <w:p w14:paraId="63913CD5" w14:textId="77777777" w:rsidR="00E04D9A" w:rsidRPr="009762AC" w:rsidRDefault="00E04D9A" w:rsidP="002357D8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4294E">
        <w:rPr>
          <w:rFonts w:ascii="Times New Roman" w:hAnsi="Times New Roman" w:cs="Times New Roman"/>
          <w:b/>
          <w:color w:val="000000"/>
          <w:sz w:val="23"/>
          <w:szCs w:val="23"/>
        </w:rPr>
        <w:t>Místo a doba plnění</w:t>
      </w:r>
    </w:p>
    <w:p w14:paraId="55D79BDB" w14:textId="77777777" w:rsidR="004B72D2" w:rsidRPr="006B3C5F" w:rsidRDefault="004B72D2" w:rsidP="006B3C5F">
      <w:pPr>
        <w:pStyle w:val="Odstavecseseznamem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B3C5F">
        <w:rPr>
          <w:rFonts w:ascii="Times New Roman" w:hAnsi="Times New Roman" w:cs="Times New Roman"/>
          <w:sz w:val="23"/>
          <w:szCs w:val="23"/>
        </w:rPr>
        <w:t>Prodávající je povinen v souladu s podmínkami této smlouvy řádně a včas dodat kupujícímu zboží, přičemž za řádné dodání zboží se považuje jeho převzetí kupujícím</w:t>
      </w:r>
      <w:r w:rsidR="006B3C5F" w:rsidRPr="006B3C5F">
        <w:rPr>
          <w:rFonts w:ascii="Times New Roman" w:hAnsi="Times New Roman" w:cs="Times New Roman"/>
          <w:sz w:val="23"/>
          <w:szCs w:val="23"/>
        </w:rPr>
        <w:t xml:space="preserve">. </w:t>
      </w:r>
      <w:r w:rsidR="006B3C5F" w:rsidRPr="006B3C5F">
        <w:rPr>
          <w:rFonts w:ascii="Times New Roman" w:hAnsi="Times New Roman" w:cs="Times New Roman"/>
          <w:color w:val="000000"/>
          <w:sz w:val="23"/>
          <w:szCs w:val="23"/>
        </w:rPr>
        <w:t xml:space="preserve">O předání předmětu koupě bude pořízen předávací protokol ve dvou stejnopisech, kdy jeden stejnopis </w:t>
      </w:r>
      <w:proofErr w:type="gramStart"/>
      <w:r w:rsidR="006B3C5F" w:rsidRPr="006B3C5F">
        <w:rPr>
          <w:rFonts w:ascii="Times New Roman" w:hAnsi="Times New Roman" w:cs="Times New Roman"/>
          <w:color w:val="000000"/>
          <w:sz w:val="23"/>
          <w:szCs w:val="23"/>
        </w:rPr>
        <w:t>obdrží</w:t>
      </w:r>
      <w:proofErr w:type="gramEnd"/>
      <w:r w:rsidR="006B3C5F" w:rsidRPr="006B3C5F">
        <w:rPr>
          <w:rFonts w:ascii="Times New Roman" w:hAnsi="Times New Roman" w:cs="Times New Roman"/>
          <w:color w:val="000000"/>
          <w:sz w:val="23"/>
          <w:szCs w:val="23"/>
        </w:rPr>
        <w:t xml:space="preserve"> prodávající a jeden stejnopis obdrží kupující.</w:t>
      </w:r>
    </w:p>
    <w:p w14:paraId="4B8310A7" w14:textId="77777777" w:rsidR="004D2F2B" w:rsidRDefault="004D2F2B" w:rsidP="002357D8">
      <w:pPr>
        <w:pStyle w:val="Default"/>
        <w:numPr>
          <w:ilvl w:val="0"/>
          <w:numId w:val="6"/>
        </w:numPr>
        <w:spacing w:after="120" w:line="276" w:lineRule="auto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Místem plnění</w:t>
      </w:r>
      <w:r w:rsidR="004B72D2">
        <w:rPr>
          <w:sz w:val="23"/>
          <w:szCs w:val="23"/>
        </w:rPr>
        <w:t>, tj. místo dodání předmětu koupě,</w:t>
      </w:r>
      <w:r>
        <w:rPr>
          <w:sz w:val="23"/>
          <w:szCs w:val="23"/>
        </w:rPr>
        <w:t xml:space="preserve"> je obce Středokluky.</w:t>
      </w:r>
    </w:p>
    <w:p w14:paraId="7E22A650" w14:textId="65880A54" w:rsidR="004D2F2B" w:rsidRDefault="004D2F2B" w:rsidP="002357D8">
      <w:pPr>
        <w:pStyle w:val="Default"/>
        <w:numPr>
          <w:ilvl w:val="0"/>
          <w:numId w:val="6"/>
        </w:numPr>
        <w:spacing w:after="120" w:line="276" w:lineRule="auto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Prodávající se povinen protokolárně předat kupujícímu </w:t>
      </w:r>
      <w:r w:rsidR="004B72D2">
        <w:rPr>
          <w:sz w:val="23"/>
          <w:szCs w:val="23"/>
        </w:rPr>
        <w:t>předmět koupě</w:t>
      </w:r>
      <w:r>
        <w:rPr>
          <w:sz w:val="23"/>
          <w:szCs w:val="23"/>
        </w:rPr>
        <w:t xml:space="preserve"> blíže specifikovan</w:t>
      </w:r>
      <w:r w:rsidR="004B72D2">
        <w:rPr>
          <w:sz w:val="23"/>
          <w:szCs w:val="23"/>
        </w:rPr>
        <w:t>ý</w:t>
      </w:r>
      <w:r>
        <w:rPr>
          <w:sz w:val="23"/>
          <w:szCs w:val="23"/>
        </w:rPr>
        <w:t xml:space="preserve"> v příloze č. 2</w:t>
      </w:r>
      <w:r w:rsidR="00D7080A">
        <w:rPr>
          <w:sz w:val="23"/>
          <w:szCs w:val="23"/>
        </w:rPr>
        <w:t xml:space="preserve"> této smlouvy</w:t>
      </w:r>
      <w:r w:rsidR="004B72D2">
        <w:rPr>
          <w:sz w:val="23"/>
          <w:szCs w:val="23"/>
        </w:rPr>
        <w:t>, a to včetně veškerých listin, součástí a příslušenství</w:t>
      </w:r>
      <w:r>
        <w:rPr>
          <w:sz w:val="23"/>
          <w:szCs w:val="23"/>
        </w:rPr>
        <w:t xml:space="preserve">, nejpozději </w:t>
      </w:r>
      <w:r w:rsidRPr="00331684">
        <w:rPr>
          <w:sz w:val="23"/>
          <w:szCs w:val="23"/>
        </w:rPr>
        <w:t xml:space="preserve">do </w:t>
      </w:r>
      <w:r w:rsidR="00163B33" w:rsidRPr="00331684">
        <w:rPr>
          <w:sz w:val="23"/>
          <w:szCs w:val="23"/>
        </w:rPr>
        <w:t>220</w:t>
      </w:r>
      <w:r w:rsidR="006B3C5F" w:rsidRPr="00331684">
        <w:rPr>
          <w:sz w:val="23"/>
          <w:szCs w:val="23"/>
        </w:rPr>
        <w:t xml:space="preserve"> dnů </w:t>
      </w:r>
      <w:r w:rsidR="006B3C5F" w:rsidRPr="006B3C5F">
        <w:rPr>
          <w:sz w:val="23"/>
          <w:szCs w:val="23"/>
        </w:rPr>
        <w:t xml:space="preserve">ode dne účinnosti této smlouvy. </w:t>
      </w:r>
    </w:p>
    <w:p w14:paraId="12534E7D" w14:textId="77777777" w:rsidR="004D2F2B" w:rsidRDefault="004D2F2B" w:rsidP="002357D8">
      <w:pPr>
        <w:pStyle w:val="Default"/>
        <w:numPr>
          <w:ilvl w:val="0"/>
          <w:numId w:val="6"/>
        </w:numPr>
        <w:spacing w:after="120" w:line="276" w:lineRule="auto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Kupující je povinen s převzetím předmětu </w:t>
      </w:r>
      <w:r w:rsidR="00294D0F">
        <w:rPr>
          <w:sz w:val="23"/>
          <w:szCs w:val="23"/>
        </w:rPr>
        <w:t xml:space="preserve">koupě </w:t>
      </w:r>
      <w:r>
        <w:rPr>
          <w:sz w:val="23"/>
          <w:szCs w:val="23"/>
        </w:rPr>
        <w:t xml:space="preserve">poskytnout prodávajícímu veškerou nezbytnou součinnost. </w:t>
      </w:r>
    </w:p>
    <w:p w14:paraId="20F6DBF7" w14:textId="77777777" w:rsidR="006B3C5F" w:rsidRDefault="006B3C5F" w:rsidP="006B3C5F">
      <w:pPr>
        <w:pStyle w:val="Default"/>
        <w:spacing w:after="120" w:line="276" w:lineRule="auto"/>
        <w:ind w:left="567"/>
        <w:jc w:val="both"/>
        <w:rPr>
          <w:sz w:val="23"/>
          <w:szCs w:val="23"/>
        </w:rPr>
      </w:pPr>
    </w:p>
    <w:p w14:paraId="3961624E" w14:textId="77777777" w:rsidR="004D2F2B" w:rsidRPr="004D2F2B" w:rsidRDefault="004D2F2B" w:rsidP="006B3C5F">
      <w:pPr>
        <w:pStyle w:val="Odstavecseseznamem"/>
        <w:numPr>
          <w:ilvl w:val="0"/>
          <w:numId w:val="6"/>
        </w:numPr>
        <w:spacing w:after="360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2F2B">
        <w:rPr>
          <w:rFonts w:ascii="Times New Roman" w:hAnsi="Times New Roman" w:cs="Times New Roman"/>
          <w:color w:val="000000"/>
          <w:sz w:val="23"/>
          <w:szCs w:val="23"/>
        </w:rPr>
        <w:t>Prodávající je povinen kupujícího písemně vyzvat s žádostí o potřebnou součinnost související s</w:t>
      </w:r>
      <w:r w:rsidR="00294D0F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4D2F2B">
        <w:rPr>
          <w:rFonts w:ascii="Times New Roman" w:hAnsi="Times New Roman" w:cs="Times New Roman"/>
          <w:color w:val="000000"/>
          <w:sz w:val="23"/>
          <w:szCs w:val="23"/>
        </w:rPr>
        <w:t>převzetím</w:t>
      </w:r>
      <w:r w:rsidR="00294D0F">
        <w:rPr>
          <w:rFonts w:ascii="Times New Roman" w:hAnsi="Times New Roman" w:cs="Times New Roman"/>
          <w:color w:val="000000"/>
          <w:sz w:val="23"/>
          <w:szCs w:val="23"/>
        </w:rPr>
        <w:t xml:space="preserve"> předmětu smlouvy.</w:t>
      </w:r>
      <w:r w:rsidRPr="004D2F2B">
        <w:rPr>
          <w:rFonts w:ascii="Times New Roman" w:hAnsi="Times New Roman" w:cs="Times New Roman"/>
          <w:color w:val="000000"/>
          <w:sz w:val="23"/>
          <w:szCs w:val="23"/>
        </w:rPr>
        <w:t xml:space="preserve"> V této výzvě pak bude uveden konkrétní den, kdy si může kupující předmět koupě převzít. Den navržený k převzetí předmětu koupě musí být stanoven nejdříve za 5 pracovních dní ode dne oznámení této výzvy kupujícímu. </w:t>
      </w:r>
    </w:p>
    <w:p w14:paraId="6805206D" w14:textId="77777777" w:rsidR="00294D0F" w:rsidRPr="00294D0F" w:rsidRDefault="00F1630F" w:rsidP="006B3C5F">
      <w:pPr>
        <w:pStyle w:val="Default"/>
        <w:spacing w:after="120" w:line="276" w:lineRule="auto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Čl. </w:t>
      </w:r>
      <w:r w:rsidR="00294D0F" w:rsidRPr="00294D0F">
        <w:rPr>
          <w:b/>
          <w:sz w:val="23"/>
          <w:szCs w:val="23"/>
        </w:rPr>
        <w:t>IV.</w:t>
      </w:r>
    </w:p>
    <w:p w14:paraId="27B9EA7D" w14:textId="77777777" w:rsidR="00294D0F" w:rsidRPr="00294D0F" w:rsidRDefault="00294D0F" w:rsidP="002357D8">
      <w:pPr>
        <w:pStyle w:val="Default"/>
        <w:spacing w:after="120" w:line="276" w:lineRule="auto"/>
        <w:jc w:val="center"/>
        <w:rPr>
          <w:b/>
          <w:sz w:val="23"/>
          <w:szCs w:val="23"/>
        </w:rPr>
      </w:pPr>
      <w:r w:rsidRPr="00294D0F">
        <w:rPr>
          <w:b/>
          <w:sz w:val="23"/>
          <w:szCs w:val="23"/>
        </w:rPr>
        <w:t>Záruka na jakost a odpovědnost za vady</w:t>
      </w:r>
    </w:p>
    <w:p w14:paraId="22657EAD" w14:textId="77777777" w:rsidR="00294D0F" w:rsidRPr="00127118" w:rsidRDefault="00294D0F" w:rsidP="002357D8">
      <w:pPr>
        <w:pStyle w:val="Default"/>
        <w:numPr>
          <w:ilvl w:val="0"/>
          <w:numId w:val="8"/>
        </w:numPr>
        <w:spacing w:after="120" w:line="276" w:lineRule="auto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Prodávající kupujícímu </w:t>
      </w:r>
      <w:r w:rsidR="004A4161" w:rsidRPr="00127118">
        <w:rPr>
          <w:sz w:val="23"/>
          <w:szCs w:val="23"/>
        </w:rPr>
        <w:t>poskytuje</w:t>
      </w:r>
      <w:r w:rsidR="004A4161">
        <w:rPr>
          <w:sz w:val="23"/>
          <w:szCs w:val="23"/>
        </w:rPr>
        <w:t xml:space="preserve"> na </w:t>
      </w:r>
      <w:r w:rsidR="00AA031C">
        <w:rPr>
          <w:sz w:val="23"/>
          <w:szCs w:val="23"/>
        </w:rPr>
        <w:t>požární</w:t>
      </w:r>
      <w:r w:rsidR="00AA031C" w:rsidRPr="002819E0">
        <w:rPr>
          <w:sz w:val="23"/>
          <w:szCs w:val="23"/>
        </w:rPr>
        <w:t xml:space="preserve"> přívěs pro hašení</w:t>
      </w:r>
      <w:r w:rsidR="00AA031C">
        <w:rPr>
          <w:sz w:val="23"/>
          <w:szCs w:val="23"/>
        </w:rPr>
        <w:t>,</w:t>
      </w:r>
      <w:r w:rsidR="00AA031C" w:rsidRPr="002819E0">
        <w:rPr>
          <w:sz w:val="23"/>
          <w:szCs w:val="23"/>
        </w:rPr>
        <w:t xml:space="preserve"> včetně požární přenosné motorové stříkačky</w:t>
      </w:r>
      <w:r w:rsidR="00AA031C" w:rsidRPr="00127118">
        <w:rPr>
          <w:sz w:val="23"/>
          <w:szCs w:val="23"/>
        </w:rPr>
        <w:t xml:space="preserve"> </w:t>
      </w:r>
      <w:r w:rsidRPr="00127118">
        <w:rPr>
          <w:sz w:val="23"/>
          <w:szCs w:val="23"/>
        </w:rPr>
        <w:t>záruku za jakost (dále jen „záruka</w:t>
      </w:r>
      <w:r w:rsidR="00F1630F">
        <w:rPr>
          <w:sz w:val="23"/>
          <w:szCs w:val="23"/>
        </w:rPr>
        <w:t>“</w:t>
      </w:r>
      <w:r w:rsidRPr="00127118">
        <w:rPr>
          <w:sz w:val="23"/>
          <w:szCs w:val="23"/>
        </w:rPr>
        <w:t>) ve smyslu § 21</w:t>
      </w:r>
      <w:r w:rsidR="002819E0">
        <w:rPr>
          <w:sz w:val="23"/>
          <w:szCs w:val="23"/>
        </w:rPr>
        <w:t xml:space="preserve">13 a násl. občanského zákoníku </w:t>
      </w:r>
      <w:r w:rsidRPr="00127118">
        <w:rPr>
          <w:sz w:val="23"/>
          <w:szCs w:val="23"/>
        </w:rPr>
        <w:t>(dále též „záruční doba“).</w:t>
      </w:r>
    </w:p>
    <w:p w14:paraId="2AB96E58" w14:textId="77777777" w:rsidR="00294D0F" w:rsidRPr="00127118" w:rsidRDefault="00294D0F" w:rsidP="00AA031C">
      <w:pPr>
        <w:pStyle w:val="Default"/>
        <w:numPr>
          <w:ilvl w:val="0"/>
          <w:numId w:val="8"/>
        </w:numPr>
        <w:spacing w:after="120" w:line="276" w:lineRule="auto"/>
        <w:ind w:left="567" w:hanging="567"/>
        <w:jc w:val="both"/>
        <w:rPr>
          <w:sz w:val="23"/>
          <w:szCs w:val="23"/>
        </w:rPr>
      </w:pPr>
      <w:r w:rsidRPr="00127118">
        <w:rPr>
          <w:sz w:val="23"/>
          <w:szCs w:val="23"/>
        </w:rPr>
        <w:t xml:space="preserve">Záruční </w:t>
      </w:r>
      <w:r>
        <w:rPr>
          <w:sz w:val="23"/>
          <w:szCs w:val="23"/>
        </w:rPr>
        <w:t>doba</w:t>
      </w:r>
      <w:r w:rsidR="00877466">
        <w:rPr>
          <w:sz w:val="23"/>
          <w:szCs w:val="23"/>
        </w:rPr>
        <w:t xml:space="preserve"> </w:t>
      </w:r>
      <w:r w:rsidR="00AA031C" w:rsidRPr="00AA031C">
        <w:rPr>
          <w:sz w:val="23"/>
          <w:szCs w:val="23"/>
        </w:rPr>
        <w:t>požární přívěs pro hašení, včetně požární přenosné motorové stříkačky</w:t>
      </w:r>
      <w:r>
        <w:rPr>
          <w:sz w:val="23"/>
          <w:szCs w:val="23"/>
        </w:rPr>
        <w:t xml:space="preserve"> začíná běžet</w:t>
      </w:r>
      <w:r w:rsidR="00501DF3">
        <w:rPr>
          <w:sz w:val="23"/>
          <w:szCs w:val="23"/>
        </w:rPr>
        <w:t xml:space="preserve"> dnem</w:t>
      </w:r>
      <w:r>
        <w:rPr>
          <w:sz w:val="23"/>
          <w:szCs w:val="23"/>
        </w:rPr>
        <w:t xml:space="preserve"> </w:t>
      </w:r>
      <w:r w:rsidR="006B3C5F">
        <w:rPr>
          <w:sz w:val="23"/>
          <w:szCs w:val="23"/>
        </w:rPr>
        <w:t xml:space="preserve">protokolárního </w:t>
      </w:r>
      <w:r w:rsidR="00877466">
        <w:rPr>
          <w:sz w:val="23"/>
          <w:szCs w:val="23"/>
        </w:rPr>
        <w:t>p</w:t>
      </w:r>
      <w:r>
        <w:rPr>
          <w:sz w:val="23"/>
          <w:szCs w:val="23"/>
        </w:rPr>
        <w:t xml:space="preserve">řevzetí </w:t>
      </w:r>
      <w:r w:rsidR="006B3C5F">
        <w:rPr>
          <w:sz w:val="23"/>
          <w:szCs w:val="23"/>
        </w:rPr>
        <w:t xml:space="preserve">předmětu koupě </w:t>
      </w:r>
      <w:r w:rsidRPr="00127118">
        <w:rPr>
          <w:sz w:val="23"/>
          <w:szCs w:val="23"/>
        </w:rPr>
        <w:t xml:space="preserve">kupujícím. Záruční doba se staví po dobu, po kterou nemůže kupující </w:t>
      </w:r>
      <w:r w:rsidR="00AA031C">
        <w:rPr>
          <w:sz w:val="23"/>
          <w:szCs w:val="23"/>
        </w:rPr>
        <w:t>požární</w:t>
      </w:r>
      <w:r w:rsidR="00AA031C" w:rsidRPr="002819E0">
        <w:rPr>
          <w:sz w:val="23"/>
          <w:szCs w:val="23"/>
        </w:rPr>
        <w:t xml:space="preserve"> přívěs pro hašení, včetně požární přenosné motorové stříkačky</w:t>
      </w:r>
      <w:r w:rsidR="00AA031C" w:rsidRPr="00127118">
        <w:rPr>
          <w:sz w:val="23"/>
          <w:szCs w:val="23"/>
        </w:rPr>
        <w:t xml:space="preserve"> </w:t>
      </w:r>
      <w:r w:rsidRPr="00127118">
        <w:rPr>
          <w:sz w:val="23"/>
          <w:szCs w:val="23"/>
        </w:rPr>
        <w:t>řádně užívat pro vady, za které nese odpovědnost prodávající.</w:t>
      </w:r>
    </w:p>
    <w:p w14:paraId="26CAE1FD" w14:textId="77777777" w:rsidR="00294D0F" w:rsidRDefault="00294D0F" w:rsidP="002357D8">
      <w:pPr>
        <w:pStyle w:val="Default"/>
        <w:numPr>
          <w:ilvl w:val="0"/>
          <w:numId w:val="8"/>
        </w:numPr>
        <w:spacing w:after="120" w:line="276" w:lineRule="auto"/>
        <w:ind w:left="567" w:hanging="567"/>
        <w:jc w:val="both"/>
        <w:rPr>
          <w:sz w:val="23"/>
          <w:szCs w:val="23"/>
        </w:rPr>
      </w:pPr>
      <w:r w:rsidRPr="00127118">
        <w:rPr>
          <w:sz w:val="23"/>
          <w:szCs w:val="23"/>
        </w:rPr>
        <w:t xml:space="preserve">Veškeré vady </w:t>
      </w:r>
      <w:r w:rsidR="00AA031C">
        <w:rPr>
          <w:sz w:val="23"/>
          <w:szCs w:val="23"/>
        </w:rPr>
        <w:t>požárního</w:t>
      </w:r>
      <w:r w:rsidR="00AA031C" w:rsidRPr="002819E0">
        <w:rPr>
          <w:sz w:val="23"/>
          <w:szCs w:val="23"/>
        </w:rPr>
        <w:t xml:space="preserve"> přívěs</w:t>
      </w:r>
      <w:r w:rsidR="00AA031C">
        <w:rPr>
          <w:sz w:val="23"/>
          <w:szCs w:val="23"/>
        </w:rPr>
        <w:t>u</w:t>
      </w:r>
      <w:r w:rsidR="00AA031C" w:rsidRPr="002819E0">
        <w:rPr>
          <w:sz w:val="23"/>
          <w:szCs w:val="23"/>
        </w:rPr>
        <w:t xml:space="preserve"> pro hašení, včetně požární přenosné motorové stříkačky</w:t>
      </w:r>
      <w:r w:rsidR="00AA031C" w:rsidRPr="00127118">
        <w:rPr>
          <w:sz w:val="23"/>
          <w:szCs w:val="23"/>
        </w:rPr>
        <w:t xml:space="preserve"> </w:t>
      </w:r>
      <w:r w:rsidRPr="00127118">
        <w:rPr>
          <w:sz w:val="23"/>
          <w:szCs w:val="23"/>
        </w:rPr>
        <w:t xml:space="preserve">je kupující povinen uplatnit u prodávajícího bez zbytečného </w:t>
      </w:r>
      <w:r w:rsidR="006B3C5F">
        <w:rPr>
          <w:sz w:val="23"/>
          <w:szCs w:val="23"/>
        </w:rPr>
        <w:t>odkladu poté, kdy vadu zjistil, nejpozději však do 5 pracovních dnů</w:t>
      </w:r>
      <w:r w:rsidR="00CD52A6">
        <w:rPr>
          <w:sz w:val="23"/>
          <w:szCs w:val="23"/>
        </w:rPr>
        <w:t xml:space="preserve"> od zjištění vady</w:t>
      </w:r>
      <w:r w:rsidR="006B3C5F">
        <w:rPr>
          <w:sz w:val="23"/>
          <w:szCs w:val="23"/>
        </w:rPr>
        <w:t>. Vadu kupující uplatn</w:t>
      </w:r>
      <w:r w:rsidR="00B66824">
        <w:rPr>
          <w:sz w:val="23"/>
          <w:szCs w:val="23"/>
        </w:rPr>
        <w:t>í</w:t>
      </w:r>
      <w:r w:rsidR="006B3C5F">
        <w:rPr>
          <w:sz w:val="23"/>
          <w:szCs w:val="23"/>
        </w:rPr>
        <w:t xml:space="preserve"> prostřednictvím datové schránky prodávajícího, která je uvedena v záhlaví této smlouvy.  </w:t>
      </w:r>
    </w:p>
    <w:p w14:paraId="504C6D58" w14:textId="77777777" w:rsidR="00294D0F" w:rsidRPr="00127118" w:rsidRDefault="006B3C5F" w:rsidP="002357D8">
      <w:pPr>
        <w:pStyle w:val="Default"/>
        <w:numPr>
          <w:ilvl w:val="0"/>
          <w:numId w:val="8"/>
        </w:numPr>
        <w:spacing w:after="120" w:line="276" w:lineRule="auto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Prodávající je povinen vytknutou vadu odstranit bez zbytečného odkladu, nejpozději však do 10 pracovních dnů ode dne doručení uplatnění vady dle čl. IV odst. 4.3. této smlouvy. </w:t>
      </w:r>
      <w:r w:rsidR="00294D0F" w:rsidRPr="00127118">
        <w:rPr>
          <w:sz w:val="23"/>
          <w:szCs w:val="23"/>
        </w:rPr>
        <w:t>V</w:t>
      </w:r>
      <w:r w:rsidR="00F1630F">
        <w:rPr>
          <w:sz w:val="23"/>
          <w:szCs w:val="23"/>
        </w:rPr>
        <w:t> </w:t>
      </w:r>
      <w:r w:rsidR="00294D0F" w:rsidRPr="00127118">
        <w:rPr>
          <w:sz w:val="23"/>
          <w:szCs w:val="23"/>
        </w:rPr>
        <w:t>případě prodlení prodávajícího s</w:t>
      </w:r>
      <w:r w:rsidR="00F1630F">
        <w:rPr>
          <w:sz w:val="23"/>
          <w:szCs w:val="23"/>
        </w:rPr>
        <w:t> </w:t>
      </w:r>
      <w:r w:rsidR="00294D0F" w:rsidRPr="00127118">
        <w:rPr>
          <w:sz w:val="23"/>
          <w:szCs w:val="23"/>
        </w:rPr>
        <w:t>odstraněním vad</w:t>
      </w:r>
      <w:r>
        <w:rPr>
          <w:sz w:val="23"/>
          <w:szCs w:val="23"/>
        </w:rPr>
        <w:t>, tj. že vada nebude odstraněna ani do 10 pracovních dnů</w:t>
      </w:r>
      <w:r w:rsidRPr="006B3C5F">
        <w:rPr>
          <w:sz w:val="23"/>
          <w:szCs w:val="23"/>
        </w:rPr>
        <w:t xml:space="preserve"> </w:t>
      </w:r>
      <w:r>
        <w:rPr>
          <w:sz w:val="23"/>
          <w:szCs w:val="23"/>
        </w:rPr>
        <w:t>ode dne doručení uplatnění vady dle čl. IV odst. 4.3. této smlouvy,</w:t>
      </w:r>
      <w:r w:rsidR="00294D0F" w:rsidRPr="00127118">
        <w:rPr>
          <w:sz w:val="23"/>
          <w:szCs w:val="23"/>
        </w:rPr>
        <w:t xml:space="preserve"> má kupující právo si opravu zajistit u třetí osoby na náklady prodávajícího.</w:t>
      </w:r>
      <w:r>
        <w:rPr>
          <w:sz w:val="23"/>
          <w:szCs w:val="23"/>
        </w:rPr>
        <w:t xml:space="preserve"> Tím není dotčeno právo kupujícího na zaplacení smluvní pokuty. </w:t>
      </w:r>
    </w:p>
    <w:p w14:paraId="1F0B98EB" w14:textId="77777777" w:rsidR="00294D0F" w:rsidRDefault="00294D0F" w:rsidP="006B3C5F">
      <w:pPr>
        <w:pStyle w:val="Default"/>
        <w:numPr>
          <w:ilvl w:val="0"/>
          <w:numId w:val="8"/>
        </w:numPr>
        <w:spacing w:after="360" w:line="276" w:lineRule="auto"/>
        <w:ind w:left="567" w:hanging="567"/>
        <w:jc w:val="both"/>
        <w:rPr>
          <w:sz w:val="23"/>
          <w:szCs w:val="23"/>
        </w:rPr>
      </w:pPr>
      <w:r w:rsidRPr="00127118">
        <w:rPr>
          <w:sz w:val="23"/>
          <w:szCs w:val="23"/>
        </w:rPr>
        <w:t>Prodávající je povinen uhradit kupujícímu škodu, která mu vznikla vadným plněním, a to v</w:t>
      </w:r>
      <w:r w:rsidR="00F1630F">
        <w:rPr>
          <w:sz w:val="23"/>
          <w:szCs w:val="23"/>
        </w:rPr>
        <w:t> </w:t>
      </w:r>
      <w:r w:rsidRPr="00127118">
        <w:rPr>
          <w:sz w:val="23"/>
          <w:szCs w:val="23"/>
        </w:rPr>
        <w:t>plné výši. Prodávajíc</w:t>
      </w:r>
      <w:r>
        <w:rPr>
          <w:sz w:val="23"/>
          <w:szCs w:val="23"/>
        </w:rPr>
        <w:t>í</w:t>
      </w:r>
      <w:r w:rsidRPr="00127118">
        <w:rPr>
          <w:sz w:val="23"/>
          <w:szCs w:val="23"/>
        </w:rPr>
        <w:t xml:space="preserve"> rovněž kupujícímu uhradí náklady vzniklé při uplatňování práv z</w:t>
      </w:r>
      <w:r w:rsidR="00F1630F">
        <w:rPr>
          <w:sz w:val="23"/>
          <w:szCs w:val="23"/>
        </w:rPr>
        <w:t> </w:t>
      </w:r>
      <w:r w:rsidRPr="00127118">
        <w:rPr>
          <w:sz w:val="23"/>
          <w:szCs w:val="23"/>
        </w:rPr>
        <w:t>vadného plněn</w:t>
      </w:r>
      <w:r w:rsidR="00D7080A">
        <w:rPr>
          <w:sz w:val="23"/>
          <w:szCs w:val="23"/>
        </w:rPr>
        <w:t>í</w:t>
      </w:r>
      <w:r w:rsidRPr="00127118">
        <w:rPr>
          <w:sz w:val="23"/>
          <w:szCs w:val="23"/>
        </w:rPr>
        <w:t>.</w:t>
      </w:r>
      <w:r w:rsidR="006B3C5F">
        <w:rPr>
          <w:sz w:val="23"/>
          <w:szCs w:val="23"/>
        </w:rPr>
        <w:t xml:space="preserve"> Náhrada škody a nákladů vzniklých při uplatňování práv z vadného plnění nemá vliv na právo kupujícího na zaplacení smluvní pokuty.</w:t>
      </w:r>
    </w:p>
    <w:p w14:paraId="1AF641F2" w14:textId="77777777" w:rsidR="00F1630F" w:rsidRPr="00F1630F" w:rsidRDefault="006B3C5F" w:rsidP="006B3C5F">
      <w:pPr>
        <w:pStyle w:val="Default"/>
        <w:spacing w:after="120" w:line="276" w:lineRule="auto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Čl. V</w:t>
      </w:r>
      <w:r w:rsidR="00F1630F">
        <w:rPr>
          <w:b/>
          <w:sz w:val="23"/>
          <w:szCs w:val="23"/>
        </w:rPr>
        <w:t>.</w:t>
      </w:r>
    </w:p>
    <w:p w14:paraId="744C9AD5" w14:textId="77777777" w:rsidR="00F1630F" w:rsidRDefault="00F1630F" w:rsidP="002357D8">
      <w:pPr>
        <w:pStyle w:val="Default"/>
        <w:spacing w:after="120" w:line="276" w:lineRule="auto"/>
        <w:jc w:val="center"/>
        <w:rPr>
          <w:b/>
          <w:sz w:val="23"/>
          <w:szCs w:val="23"/>
        </w:rPr>
      </w:pPr>
      <w:r w:rsidRPr="00F1630F">
        <w:rPr>
          <w:b/>
          <w:sz w:val="23"/>
          <w:szCs w:val="23"/>
        </w:rPr>
        <w:t>Odstoupení od smlouvy</w:t>
      </w:r>
    </w:p>
    <w:p w14:paraId="39DCC6E1" w14:textId="77777777" w:rsidR="00F1630F" w:rsidRPr="00536C7E" w:rsidRDefault="00F1630F" w:rsidP="00536C7E">
      <w:pPr>
        <w:pStyle w:val="Odstavecseseznamem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536C7E">
        <w:rPr>
          <w:rFonts w:ascii="Times New Roman" w:hAnsi="Times New Roman"/>
          <w:sz w:val="23"/>
          <w:szCs w:val="23"/>
        </w:rPr>
        <w:t xml:space="preserve">Prodávající a kupující mají právo od této kupní smlouvy odstoupit, stanoví-li tak zákon. </w:t>
      </w:r>
    </w:p>
    <w:p w14:paraId="65C675FC" w14:textId="77777777" w:rsidR="006B3C5F" w:rsidRPr="00536C7E" w:rsidRDefault="006B3C5F" w:rsidP="00536C7E">
      <w:pPr>
        <w:pStyle w:val="Odstavecseseznamem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536C7E">
        <w:rPr>
          <w:rFonts w:ascii="Times New Roman" w:hAnsi="Times New Roman"/>
          <w:sz w:val="23"/>
          <w:szCs w:val="23"/>
        </w:rPr>
        <w:t xml:space="preserve">Kupující má právo od této smlouvy odstoupit v případě, kdy se prodávající dostane do prodlení s předáním předmětu koupě </w:t>
      </w:r>
      <w:r w:rsidR="00536C7E" w:rsidRPr="00536C7E">
        <w:rPr>
          <w:rFonts w:ascii="Times New Roman" w:hAnsi="Times New Roman"/>
          <w:sz w:val="23"/>
          <w:szCs w:val="23"/>
        </w:rPr>
        <w:t>kupujícímu</w:t>
      </w:r>
      <w:r w:rsidRPr="00536C7E">
        <w:rPr>
          <w:rFonts w:ascii="Times New Roman" w:hAnsi="Times New Roman"/>
          <w:sz w:val="23"/>
          <w:szCs w:val="23"/>
        </w:rPr>
        <w:t xml:space="preserve"> delším než 30 </w:t>
      </w:r>
      <w:r w:rsidR="00D86C6B">
        <w:rPr>
          <w:rFonts w:ascii="Times New Roman" w:hAnsi="Times New Roman"/>
          <w:sz w:val="23"/>
          <w:szCs w:val="23"/>
        </w:rPr>
        <w:t xml:space="preserve">kalendářních </w:t>
      </w:r>
      <w:r w:rsidRPr="00536C7E">
        <w:rPr>
          <w:rFonts w:ascii="Times New Roman" w:hAnsi="Times New Roman"/>
          <w:sz w:val="23"/>
          <w:szCs w:val="23"/>
        </w:rPr>
        <w:t xml:space="preserve">dnů ode dne </w:t>
      </w:r>
      <w:r w:rsidR="00536C7E" w:rsidRPr="00536C7E">
        <w:rPr>
          <w:rFonts w:ascii="Times New Roman" w:hAnsi="Times New Roman"/>
          <w:sz w:val="23"/>
          <w:szCs w:val="23"/>
        </w:rPr>
        <w:t xml:space="preserve">uvedeného v čl. III. odst. 3.3. této smlouvy. </w:t>
      </w:r>
    </w:p>
    <w:p w14:paraId="09A932FF" w14:textId="77777777" w:rsidR="00F1630F" w:rsidRPr="00536C7E" w:rsidRDefault="00F1630F" w:rsidP="00536C7E">
      <w:pPr>
        <w:pStyle w:val="Odstavecseseznamem"/>
        <w:numPr>
          <w:ilvl w:val="1"/>
          <w:numId w:val="18"/>
        </w:numPr>
        <w:spacing w:after="360"/>
        <w:ind w:left="567" w:hanging="567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536C7E">
        <w:rPr>
          <w:rFonts w:ascii="Times New Roman" w:hAnsi="Times New Roman"/>
          <w:sz w:val="23"/>
          <w:szCs w:val="23"/>
        </w:rPr>
        <w:t>Odstoupení od smlouvy a zánik účinnosti této kupní smlouvy se nedotýká práva kupujícího na zaplac</w:t>
      </w:r>
      <w:r w:rsidR="006B3C5F" w:rsidRPr="00536C7E">
        <w:rPr>
          <w:rFonts w:ascii="Times New Roman" w:hAnsi="Times New Roman"/>
          <w:sz w:val="23"/>
          <w:szCs w:val="23"/>
        </w:rPr>
        <w:t>ení smluvní pokuty dle článku V</w:t>
      </w:r>
      <w:r w:rsidRPr="00536C7E">
        <w:rPr>
          <w:rFonts w:ascii="Times New Roman" w:hAnsi="Times New Roman"/>
          <w:sz w:val="23"/>
          <w:szCs w:val="23"/>
        </w:rPr>
        <w:t xml:space="preserve">I. této smlouvy. </w:t>
      </w:r>
    </w:p>
    <w:p w14:paraId="578D3F89" w14:textId="77777777" w:rsidR="00AA031C" w:rsidRDefault="00AA031C" w:rsidP="00536C7E">
      <w:pPr>
        <w:pStyle w:val="Odstavecseseznamem"/>
        <w:spacing w:after="120"/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14:paraId="3C1D805F" w14:textId="77777777" w:rsidR="009F7A5F" w:rsidRDefault="009F7A5F" w:rsidP="00536C7E">
      <w:pPr>
        <w:pStyle w:val="Odstavecseseznamem"/>
        <w:spacing w:after="120"/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14:paraId="60CB534B" w14:textId="77777777" w:rsidR="00AA031C" w:rsidRDefault="00AA031C" w:rsidP="00536C7E">
      <w:pPr>
        <w:pStyle w:val="Odstavecseseznamem"/>
        <w:spacing w:after="120"/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14:paraId="73474CFE" w14:textId="77777777" w:rsidR="00F1630F" w:rsidRPr="00F1630F" w:rsidRDefault="00536C7E" w:rsidP="00536C7E">
      <w:pPr>
        <w:pStyle w:val="Odstavecseseznamem"/>
        <w:spacing w:after="120"/>
        <w:ind w:left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Čl. V</w:t>
      </w:r>
      <w:r w:rsidR="00F1630F" w:rsidRPr="00F1630F">
        <w:rPr>
          <w:rFonts w:ascii="Times New Roman" w:hAnsi="Times New Roman"/>
          <w:b/>
          <w:sz w:val="23"/>
          <w:szCs w:val="23"/>
        </w:rPr>
        <w:t>I.</w:t>
      </w:r>
    </w:p>
    <w:p w14:paraId="1161A9EE" w14:textId="77777777" w:rsidR="00F1630F" w:rsidRDefault="00F1630F" w:rsidP="002357D8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  <w:sz w:val="23"/>
          <w:szCs w:val="23"/>
        </w:rPr>
      </w:pPr>
      <w:r w:rsidRPr="00F1630F">
        <w:rPr>
          <w:rFonts w:ascii="Times New Roman" w:hAnsi="Times New Roman"/>
          <w:b/>
          <w:sz w:val="23"/>
          <w:szCs w:val="23"/>
        </w:rPr>
        <w:t>Smluvní pokuta</w:t>
      </w:r>
    </w:p>
    <w:p w14:paraId="6AC0DA76" w14:textId="60149801" w:rsidR="00501DF3" w:rsidRDefault="00501DF3" w:rsidP="00536C7E">
      <w:pPr>
        <w:pStyle w:val="Default"/>
        <w:numPr>
          <w:ilvl w:val="1"/>
          <w:numId w:val="19"/>
        </w:numPr>
        <w:spacing w:after="120" w:line="276" w:lineRule="auto"/>
        <w:ind w:left="567" w:hanging="567"/>
        <w:jc w:val="both"/>
        <w:rPr>
          <w:sz w:val="23"/>
          <w:szCs w:val="23"/>
        </w:rPr>
      </w:pPr>
      <w:r w:rsidRPr="00BB23FF">
        <w:rPr>
          <w:sz w:val="23"/>
          <w:szCs w:val="23"/>
        </w:rPr>
        <w:t>V případě prodlení prodávajícího se splněním povinností dle čl. I</w:t>
      </w:r>
      <w:r>
        <w:rPr>
          <w:sz w:val="23"/>
          <w:szCs w:val="23"/>
        </w:rPr>
        <w:t>II</w:t>
      </w:r>
      <w:r w:rsidRPr="00BB23FF">
        <w:rPr>
          <w:sz w:val="23"/>
          <w:szCs w:val="23"/>
        </w:rPr>
        <w:t>.</w:t>
      </w:r>
      <w:r>
        <w:rPr>
          <w:sz w:val="23"/>
          <w:szCs w:val="23"/>
        </w:rPr>
        <w:t xml:space="preserve"> odst. 3.</w:t>
      </w:r>
      <w:r w:rsidR="00806D99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  <w:r w:rsidRPr="00BB23FF">
        <w:rPr>
          <w:sz w:val="23"/>
          <w:szCs w:val="23"/>
        </w:rPr>
        <w:t xml:space="preserve">této smlouvy, má kupující právo požadovat smluvní pokutu </w:t>
      </w:r>
      <w:r w:rsidRPr="00B364D6">
        <w:rPr>
          <w:sz w:val="23"/>
          <w:szCs w:val="23"/>
        </w:rPr>
        <w:t>ve výši 0,1</w:t>
      </w:r>
      <w:r w:rsidR="00536C7E">
        <w:rPr>
          <w:sz w:val="23"/>
          <w:szCs w:val="23"/>
        </w:rPr>
        <w:t xml:space="preserve"> </w:t>
      </w:r>
      <w:r w:rsidRPr="00B364D6">
        <w:rPr>
          <w:sz w:val="23"/>
          <w:szCs w:val="23"/>
        </w:rPr>
        <w:t>% z kupní</w:t>
      </w:r>
      <w:r w:rsidRPr="00BB23FF">
        <w:rPr>
          <w:sz w:val="23"/>
          <w:szCs w:val="23"/>
        </w:rPr>
        <w:t xml:space="preserve"> ceny bez DPH, a to za každý započatý den prodlení</w:t>
      </w:r>
      <w:r>
        <w:rPr>
          <w:sz w:val="23"/>
          <w:szCs w:val="23"/>
        </w:rPr>
        <w:t xml:space="preserve"> se splněním této povinnosti. </w:t>
      </w:r>
    </w:p>
    <w:p w14:paraId="0389DA41" w14:textId="77777777" w:rsidR="00536C7E" w:rsidRPr="00536C7E" w:rsidRDefault="00536C7E" w:rsidP="00536C7E">
      <w:pPr>
        <w:pStyle w:val="Default"/>
        <w:numPr>
          <w:ilvl w:val="1"/>
          <w:numId w:val="19"/>
        </w:numPr>
        <w:spacing w:after="360" w:line="276" w:lineRule="auto"/>
        <w:ind w:left="567" w:hanging="567"/>
        <w:jc w:val="both"/>
        <w:rPr>
          <w:sz w:val="23"/>
          <w:szCs w:val="23"/>
        </w:rPr>
      </w:pPr>
      <w:r w:rsidRPr="00BB23FF">
        <w:rPr>
          <w:sz w:val="23"/>
          <w:szCs w:val="23"/>
        </w:rPr>
        <w:t>V případě prodlení prodávajícího se splněním povinností dle čl. I</w:t>
      </w:r>
      <w:r>
        <w:rPr>
          <w:sz w:val="23"/>
          <w:szCs w:val="23"/>
        </w:rPr>
        <w:t xml:space="preserve">V. odst. 4.4. </w:t>
      </w:r>
      <w:r w:rsidRPr="00BB23FF">
        <w:rPr>
          <w:sz w:val="23"/>
          <w:szCs w:val="23"/>
        </w:rPr>
        <w:t xml:space="preserve">této smlouvy, má kupující právo požadovat smluvní pokutu </w:t>
      </w:r>
      <w:r w:rsidRPr="00B364D6">
        <w:rPr>
          <w:sz w:val="23"/>
          <w:szCs w:val="23"/>
        </w:rPr>
        <w:t>ve výši 0,</w:t>
      </w:r>
      <w:r>
        <w:rPr>
          <w:sz w:val="23"/>
          <w:szCs w:val="23"/>
        </w:rPr>
        <w:t xml:space="preserve">05 </w:t>
      </w:r>
      <w:r w:rsidRPr="00B364D6">
        <w:rPr>
          <w:sz w:val="23"/>
          <w:szCs w:val="23"/>
        </w:rPr>
        <w:t>% z kupní</w:t>
      </w:r>
      <w:r w:rsidRPr="00BB23FF">
        <w:rPr>
          <w:sz w:val="23"/>
          <w:szCs w:val="23"/>
        </w:rPr>
        <w:t xml:space="preserve"> ceny bez DPH, a to za každý započatý den prodlení</w:t>
      </w:r>
      <w:r>
        <w:rPr>
          <w:sz w:val="23"/>
          <w:szCs w:val="23"/>
        </w:rPr>
        <w:t xml:space="preserve"> se splněním této povinnosti. </w:t>
      </w:r>
    </w:p>
    <w:p w14:paraId="5A86ACFA" w14:textId="77777777" w:rsidR="00501DF3" w:rsidRPr="00501DF3" w:rsidRDefault="00536C7E" w:rsidP="00536C7E">
      <w:pPr>
        <w:pStyle w:val="Default"/>
        <w:spacing w:after="120" w:line="276" w:lineRule="auto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Čl. VI</w:t>
      </w:r>
      <w:r w:rsidR="00501DF3" w:rsidRPr="00501DF3">
        <w:rPr>
          <w:b/>
          <w:sz w:val="23"/>
          <w:szCs w:val="23"/>
        </w:rPr>
        <w:t>I.</w:t>
      </w:r>
    </w:p>
    <w:p w14:paraId="7BA6E9F4" w14:textId="77777777" w:rsidR="00501DF3" w:rsidRDefault="00501DF3" w:rsidP="002357D8">
      <w:pPr>
        <w:pStyle w:val="Default"/>
        <w:spacing w:after="120" w:line="276" w:lineRule="auto"/>
        <w:jc w:val="center"/>
        <w:rPr>
          <w:b/>
          <w:sz w:val="23"/>
          <w:szCs w:val="23"/>
        </w:rPr>
      </w:pPr>
      <w:r w:rsidRPr="00501DF3">
        <w:rPr>
          <w:b/>
          <w:sz w:val="23"/>
          <w:szCs w:val="23"/>
        </w:rPr>
        <w:t xml:space="preserve">Závěrečná ustanovení </w:t>
      </w:r>
    </w:p>
    <w:p w14:paraId="4D6A2E80" w14:textId="77777777" w:rsidR="00501DF3" w:rsidRPr="00665BB6" w:rsidRDefault="00501DF3" w:rsidP="00536C7E">
      <w:pPr>
        <w:pStyle w:val="Normln1"/>
        <w:widowControl w:val="0"/>
        <w:numPr>
          <w:ilvl w:val="1"/>
          <w:numId w:val="2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665BB6">
        <w:rPr>
          <w:rFonts w:ascii="Times New Roman" w:hAnsi="Times New Roman"/>
          <w:sz w:val="23"/>
          <w:szCs w:val="23"/>
        </w:rPr>
        <w:t xml:space="preserve">Práva a povinnosti výslovně neupravené touto smlouvou se řídí českým právním řádem, zejména pak zákonem č. 89/2012 Sb., občanský zákoník, v platném znění. </w:t>
      </w:r>
    </w:p>
    <w:p w14:paraId="7D86BDE3" w14:textId="77777777" w:rsidR="00501DF3" w:rsidRPr="00665BB6" w:rsidRDefault="00501DF3" w:rsidP="00536C7E">
      <w:pPr>
        <w:pStyle w:val="Normln1"/>
        <w:widowControl w:val="0"/>
        <w:numPr>
          <w:ilvl w:val="1"/>
          <w:numId w:val="2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665BB6">
        <w:rPr>
          <w:rFonts w:ascii="Times New Roman" w:hAnsi="Times New Roman"/>
          <w:sz w:val="23"/>
          <w:szCs w:val="23"/>
        </w:rPr>
        <w:t xml:space="preserve">Tuto smlouvu lze měnit výlučně ve formě písemných dodatků podepsaných oběma smluvními stranami. </w:t>
      </w:r>
    </w:p>
    <w:p w14:paraId="352FA20E" w14:textId="77777777" w:rsidR="00501DF3" w:rsidRDefault="00501DF3" w:rsidP="00536C7E">
      <w:pPr>
        <w:pStyle w:val="Normln1"/>
        <w:widowControl w:val="0"/>
        <w:numPr>
          <w:ilvl w:val="1"/>
          <w:numId w:val="2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665BB6">
        <w:rPr>
          <w:rFonts w:ascii="Times New Roman" w:hAnsi="Times New Roman"/>
          <w:sz w:val="23"/>
          <w:szCs w:val="23"/>
        </w:rPr>
        <w:t>Tato smlouva se vyho</w:t>
      </w:r>
      <w:r w:rsidR="00D7080A">
        <w:rPr>
          <w:rFonts w:ascii="Times New Roman" w:hAnsi="Times New Roman"/>
          <w:sz w:val="23"/>
          <w:szCs w:val="23"/>
        </w:rPr>
        <w:t>to</w:t>
      </w:r>
      <w:r w:rsidRPr="00665BB6">
        <w:rPr>
          <w:rFonts w:ascii="Times New Roman" w:hAnsi="Times New Roman"/>
          <w:sz w:val="23"/>
          <w:szCs w:val="23"/>
        </w:rPr>
        <w:t xml:space="preserve">vuje ve dvou stejnopisech s platností originálu. Každá ze smluvních stran </w:t>
      </w:r>
      <w:proofErr w:type="gramStart"/>
      <w:r w:rsidRPr="00665BB6">
        <w:rPr>
          <w:rFonts w:ascii="Times New Roman" w:hAnsi="Times New Roman"/>
          <w:sz w:val="23"/>
          <w:szCs w:val="23"/>
        </w:rPr>
        <w:t>obdrží</w:t>
      </w:r>
      <w:proofErr w:type="gramEnd"/>
      <w:r w:rsidRPr="00665BB6">
        <w:rPr>
          <w:rFonts w:ascii="Times New Roman" w:hAnsi="Times New Roman"/>
          <w:sz w:val="23"/>
          <w:szCs w:val="23"/>
        </w:rPr>
        <w:t xml:space="preserve"> jeden stejnopis. </w:t>
      </w:r>
    </w:p>
    <w:p w14:paraId="7F68BED6" w14:textId="77777777" w:rsidR="00501DF3" w:rsidRDefault="00501DF3" w:rsidP="00536C7E">
      <w:pPr>
        <w:pStyle w:val="Normln1"/>
        <w:widowControl w:val="0"/>
        <w:numPr>
          <w:ilvl w:val="1"/>
          <w:numId w:val="2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AE2CE5">
        <w:rPr>
          <w:rFonts w:ascii="Times New Roman" w:hAnsi="Times New Roman"/>
          <w:sz w:val="23"/>
          <w:szCs w:val="23"/>
        </w:rPr>
        <w:t xml:space="preserve">Nastanou-li u některé ze stran skutečnosti, bránící řádnému plnění této smlouvy, je povinna strana toto ihned bezodkladně oznámit druhé straně a vyvolat jednání zástupců oprávněných k podpisu smlouvy. </w:t>
      </w:r>
    </w:p>
    <w:p w14:paraId="706E0A15" w14:textId="77777777" w:rsidR="00501DF3" w:rsidRPr="00665BB6" w:rsidRDefault="00501DF3" w:rsidP="00536C7E">
      <w:pPr>
        <w:pStyle w:val="Normln1"/>
        <w:widowControl w:val="0"/>
        <w:numPr>
          <w:ilvl w:val="1"/>
          <w:numId w:val="2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Prodávající</w:t>
      </w:r>
      <w:r w:rsidRPr="00665BB6">
        <w:rPr>
          <w:rFonts w:ascii="Times New Roman" w:hAnsi="Times New Roman"/>
          <w:sz w:val="23"/>
          <w:szCs w:val="23"/>
        </w:rPr>
        <w:t xml:space="preserve"> prohlašuje, že skutečnosti uvedené v této smlouvě nepovažuje za obchodní tajemství ve smyslu </w:t>
      </w:r>
      <w:proofErr w:type="spellStart"/>
      <w:r w:rsidRPr="00665BB6">
        <w:rPr>
          <w:rFonts w:ascii="Times New Roman" w:hAnsi="Times New Roman"/>
          <w:sz w:val="23"/>
          <w:szCs w:val="23"/>
        </w:rPr>
        <w:t>ust</w:t>
      </w:r>
      <w:proofErr w:type="spellEnd"/>
      <w:r w:rsidRPr="00665BB6">
        <w:rPr>
          <w:rFonts w:ascii="Times New Roman" w:hAnsi="Times New Roman"/>
          <w:sz w:val="23"/>
          <w:szCs w:val="23"/>
        </w:rPr>
        <w:t xml:space="preserve">. § 504 zákona č. 89/2012 Sb., občanský zákoník, ve znění pozdějších předpisů. </w:t>
      </w:r>
    </w:p>
    <w:p w14:paraId="4885A8A9" w14:textId="77777777" w:rsidR="00501DF3" w:rsidRPr="00665BB6" w:rsidRDefault="00501DF3" w:rsidP="00536C7E">
      <w:pPr>
        <w:pStyle w:val="Normln1"/>
        <w:widowControl w:val="0"/>
        <w:numPr>
          <w:ilvl w:val="1"/>
          <w:numId w:val="2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665BB6">
        <w:rPr>
          <w:rFonts w:ascii="Times New Roman" w:hAnsi="Times New Roman"/>
          <w:sz w:val="23"/>
          <w:szCs w:val="23"/>
        </w:rPr>
        <w:t xml:space="preserve">Tato smlouva nabývá platnosti </w:t>
      </w:r>
      <w:r>
        <w:rPr>
          <w:rFonts w:ascii="Times New Roman" w:hAnsi="Times New Roman"/>
          <w:sz w:val="23"/>
          <w:szCs w:val="23"/>
        </w:rPr>
        <w:t xml:space="preserve">a účinnosti </w:t>
      </w:r>
      <w:r w:rsidRPr="00665BB6">
        <w:rPr>
          <w:rFonts w:ascii="Times New Roman" w:hAnsi="Times New Roman"/>
          <w:sz w:val="23"/>
          <w:szCs w:val="23"/>
        </w:rPr>
        <w:t>dnem jejího podpisu oběma smluvními stranami</w:t>
      </w:r>
      <w:r>
        <w:rPr>
          <w:rFonts w:ascii="Times New Roman" w:hAnsi="Times New Roman"/>
          <w:sz w:val="23"/>
          <w:szCs w:val="23"/>
        </w:rPr>
        <w:t>.</w:t>
      </w:r>
      <w:r w:rsidRPr="00665BB6">
        <w:rPr>
          <w:rFonts w:ascii="Times New Roman" w:hAnsi="Times New Roman"/>
          <w:sz w:val="23"/>
          <w:szCs w:val="23"/>
        </w:rPr>
        <w:t xml:space="preserve"> </w:t>
      </w:r>
    </w:p>
    <w:p w14:paraId="4AA43DED" w14:textId="77777777" w:rsidR="00501DF3" w:rsidRPr="00F81715" w:rsidRDefault="00501DF3" w:rsidP="00536C7E">
      <w:pPr>
        <w:pStyle w:val="Normln1"/>
        <w:widowControl w:val="0"/>
        <w:numPr>
          <w:ilvl w:val="1"/>
          <w:numId w:val="2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F81715">
        <w:rPr>
          <w:rFonts w:ascii="Times New Roman" w:hAnsi="Times New Roman"/>
          <w:sz w:val="23"/>
          <w:szCs w:val="23"/>
        </w:rPr>
        <w:t xml:space="preserve">Externí přílohu této smlouvy </w:t>
      </w:r>
      <w:proofErr w:type="gramStart"/>
      <w:r w:rsidRPr="00F81715">
        <w:rPr>
          <w:rFonts w:ascii="Times New Roman" w:hAnsi="Times New Roman"/>
          <w:sz w:val="23"/>
          <w:szCs w:val="23"/>
        </w:rPr>
        <w:t>tvoří</w:t>
      </w:r>
      <w:proofErr w:type="gramEnd"/>
      <w:r w:rsidRPr="00F81715">
        <w:rPr>
          <w:rFonts w:ascii="Times New Roman" w:hAnsi="Times New Roman"/>
          <w:sz w:val="23"/>
          <w:szCs w:val="23"/>
        </w:rPr>
        <w:t xml:space="preserve"> zadávací dokumentace a její přílohy, jejichž originály jsou uloženy u </w:t>
      </w:r>
      <w:r>
        <w:rPr>
          <w:rFonts w:ascii="Times New Roman" w:hAnsi="Times New Roman"/>
          <w:sz w:val="23"/>
          <w:szCs w:val="23"/>
        </w:rPr>
        <w:t>kupujícího</w:t>
      </w:r>
      <w:r w:rsidRPr="00F81715">
        <w:rPr>
          <w:rFonts w:ascii="Times New Roman" w:hAnsi="Times New Roman"/>
          <w:sz w:val="23"/>
          <w:szCs w:val="23"/>
        </w:rPr>
        <w:t xml:space="preserve">. </w:t>
      </w:r>
    </w:p>
    <w:p w14:paraId="74EA2056" w14:textId="77777777" w:rsidR="009F7A5F" w:rsidRDefault="00501DF3" w:rsidP="00536C7E">
      <w:pPr>
        <w:pStyle w:val="Normln1"/>
        <w:widowControl w:val="0"/>
        <w:numPr>
          <w:ilvl w:val="1"/>
          <w:numId w:val="2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665BB6">
        <w:rPr>
          <w:rFonts w:ascii="Times New Roman" w:hAnsi="Times New Roman"/>
          <w:sz w:val="23"/>
          <w:szCs w:val="23"/>
        </w:rPr>
        <w:t>Smluvní strany shodně prohlašují, že si smlouvu před jejím podepsáním přečetly, že s jejím obsahem souhlasí, že byla sepsána podle jejich pravé, svobodné a vážné vůle a že nebyla uzavřena v tísni, nebo za jednostranně nevýhodných podmínek. Na důkaz toho připojují své vlastnoruční podpisy.</w:t>
      </w:r>
    </w:p>
    <w:p w14:paraId="41473DCD" w14:textId="77777777" w:rsidR="009F7A5F" w:rsidRDefault="009F7A5F" w:rsidP="009F7A5F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imes New Roman" w:hAnsi="Times New Roman"/>
          <w:sz w:val="23"/>
          <w:szCs w:val="23"/>
        </w:rPr>
      </w:pPr>
    </w:p>
    <w:p w14:paraId="19E88178" w14:textId="5A7B24FF" w:rsidR="00501DF3" w:rsidRPr="00536C7E" w:rsidRDefault="00501DF3" w:rsidP="009F7A5F">
      <w:pPr>
        <w:pStyle w:val="Normln1"/>
        <w:widowControl w:val="0"/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imes New Roman" w:hAnsi="Times New Roman"/>
          <w:sz w:val="23"/>
          <w:szCs w:val="23"/>
        </w:rPr>
      </w:pPr>
      <w:r w:rsidRPr="00665BB6">
        <w:rPr>
          <w:rFonts w:ascii="Times New Roman" w:hAnsi="Times New Roman"/>
          <w:sz w:val="23"/>
          <w:szCs w:val="23"/>
        </w:rPr>
        <w:t xml:space="preserve"> </w:t>
      </w:r>
    </w:p>
    <w:p w14:paraId="07BBA04E" w14:textId="77777777" w:rsidR="00501DF3" w:rsidRDefault="009366A9" w:rsidP="009366A9">
      <w:pPr>
        <w:pStyle w:val="Normln1"/>
        <w:spacing w:before="0" w:beforeAutospacing="0" w:after="120" w:afterAutospacing="0" w:line="276" w:lineRule="auto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Příloha č. 1:</w:t>
      </w:r>
      <w:r>
        <w:rPr>
          <w:rFonts w:ascii="Times New Roman" w:hAnsi="Times New Roman"/>
          <w:i/>
          <w:sz w:val="23"/>
          <w:szCs w:val="23"/>
        </w:rPr>
        <w:tab/>
        <w:t>Nabídka prodávajícího</w:t>
      </w:r>
    </w:p>
    <w:p w14:paraId="44017D4B" w14:textId="77777777" w:rsidR="009366A9" w:rsidRDefault="009366A9" w:rsidP="009366A9">
      <w:pPr>
        <w:pStyle w:val="Normln1"/>
        <w:spacing w:before="0" w:beforeAutospacing="0" w:after="120" w:afterAutospacing="0" w:line="276" w:lineRule="auto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Příloha č. 2:</w:t>
      </w:r>
      <w:r>
        <w:rPr>
          <w:rFonts w:ascii="Times New Roman" w:hAnsi="Times New Roman"/>
          <w:i/>
          <w:sz w:val="23"/>
          <w:szCs w:val="23"/>
        </w:rPr>
        <w:tab/>
        <w:t xml:space="preserve">Technická dokumentace – </w:t>
      </w:r>
      <w:r w:rsidR="00FA5E19" w:rsidRPr="00FA5E19">
        <w:rPr>
          <w:rFonts w:ascii="Times New Roman" w:hAnsi="Times New Roman"/>
          <w:i/>
          <w:sz w:val="23"/>
          <w:szCs w:val="23"/>
        </w:rPr>
        <w:t>Technické podmínky pro požární přívěs pro hašení – brzděný nad 750 kg</w:t>
      </w:r>
    </w:p>
    <w:p w14:paraId="4E74A04C" w14:textId="77777777" w:rsidR="00374D07" w:rsidRDefault="00374D07" w:rsidP="00181F7A">
      <w:pPr>
        <w:pStyle w:val="Normln1"/>
        <w:tabs>
          <w:tab w:val="left" w:pos="5670"/>
        </w:tabs>
        <w:spacing w:before="0" w:beforeAutospacing="0" w:after="120" w:afterAutospacing="0" w:line="276" w:lineRule="auto"/>
        <w:rPr>
          <w:rFonts w:ascii="Times New Roman" w:hAnsi="Times New Roman"/>
          <w:sz w:val="23"/>
          <w:szCs w:val="23"/>
        </w:rPr>
      </w:pPr>
    </w:p>
    <w:p w14:paraId="1FD9D462" w14:textId="77777777" w:rsidR="00374D07" w:rsidRDefault="00374D07" w:rsidP="00181F7A">
      <w:pPr>
        <w:pStyle w:val="Normln1"/>
        <w:tabs>
          <w:tab w:val="left" w:pos="5670"/>
        </w:tabs>
        <w:spacing w:before="0" w:beforeAutospacing="0" w:after="120" w:afterAutospacing="0" w:line="276" w:lineRule="auto"/>
        <w:rPr>
          <w:rFonts w:ascii="Times New Roman" w:hAnsi="Times New Roman"/>
          <w:sz w:val="23"/>
          <w:szCs w:val="23"/>
        </w:rPr>
      </w:pPr>
    </w:p>
    <w:p w14:paraId="05D2A9D6" w14:textId="77777777" w:rsidR="00374D07" w:rsidRDefault="00374D07" w:rsidP="00181F7A">
      <w:pPr>
        <w:pStyle w:val="Normln1"/>
        <w:tabs>
          <w:tab w:val="left" w:pos="5670"/>
        </w:tabs>
        <w:spacing w:before="0" w:beforeAutospacing="0" w:after="120" w:afterAutospacing="0" w:line="276" w:lineRule="auto"/>
        <w:rPr>
          <w:rFonts w:ascii="Times New Roman" w:hAnsi="Times New Roman"/>
          <w:sz w:val="23"/>
          <w:szCs w:val="23"/>
        </w:rPr>
      </w:pPr>
    </w:p>
    <w:p w14:paraId="08307F7D" w14:textId="02B57192" w:rsidR="00181F7A" w:rsidRDefault="00181F7A" w:rsidP="00181F7A">
      <w:pPr>
        <w:pStyle w:val="Normln1"/>
        <w:tabs>
          <w:tab w:val="left" w:pos="5670"/>
        </w:tabs>
        <w:spacing w:before="0" w:beforeAutospacing="0" w:after="120" w:afterAutospacing="0" w:line="276" w:lineRule="auto"/>
        <w:rPr>
          <w:rFonts w:ascii="Times New Roman" w:hAnsi="Times New Roman"/>
          <w:sz w:val="23"/>
          <w:szCs w:val="23"/>
        </w:rPr>
      </w:pPr>
      <w:proofErr w:type="gramStart"/>
      <w:r w:rsidRPr="004D23DE">
        <w:rPr>
          <w:rFonts w:ascii="Times New Roman" w:hAnsi="Times New Roman"/>
          <w:sz w:val="23"/>
          <w:szCs w:val="23"/>
        </w:rPr>
        <w:lastRenderedPageBreak/>
        <w:t>V</w:t>
      </w:r>
      <w:proofErr w:type="gramEnd"/>
      <w:r w:rsidRPr="004D23D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Středoklukách</w:t>
      </w:r>
      <w:r w:rsidRPr="004D23DE">
        <w:rPr>
          <w:rFonts w:ascii="Times New Roman" w:hAnsi="Times New Roman"/>
          <w:sz w:val="23"/>
          <w:szCs w:val="23"/>
        </w:rPr>
        <w:t xml:space="preserve"> dne .................</w:t>
      </w:r>
      <w:r>
        <w:rPr>
          <w:rFonts w:ascii="Times New Roman" w:hAnsi="Times New Roman"/>
          <w:sz w:val="23"/>
          <w:szCs w:val="23"/>
        </w:rPr>
        <w:t xml:space="preserve">...                                           </w:t>
      </w:r>
      <w:r w:rsidRPr="004D23DE">
        <w:rPr>
          <w:rFonts w:ascii="Times New Roman" w:hAnsi="Times New Roman"/>
          <w:sz w:val="23"/>
          <w:szCs w:val="23"/>
        </w:rPr>
        <w:t xml:space="preserve">V </w:t>
      </w:r>
      <w:r w:rsidRPr="00536C7E">
        <w:rPr>
          <w:rFonts w:ascii="Times New Roman" w:hAnsi="Times New Roman"/>
          <w:sz w:val="23"/>
          <w:szCs w:val="23"/>
          <w:highlight w:val="yellow"/>
        </w:rPr>
        <w:t>[Doplnit]</w:t>
      </w:r>
      <w:r w:rsidRPr="004D23DE">
        <w:rPr>
          <w:rFonts w:ascii="Times New Roman" w:hAnsi="Times New Roman"/>
          <w:sz w:val="23"/>
          <w:szCs w:val="23"/>
        </w:rPr>
        <w:t xml:space="preserve"> dne </w:t>
      </w:r>
      <w:r w:rsidRPr="00536C7E">
        <w:rPr>
          <w:rFonts w:ascii="Times New Roman" w:hAnsi="Times New Roman"/>
          <w:sz w:val="23"/>
          <w:szCs w:val="23"/>
          <w:highlight w:val="yellow"/>
        </w:rPr>
        <w:t>[Doplnit]</w:t>
      </w:r>
    </w:p>
    <w:tbl>
      <w:tblPr>
        <w:tblStyle w:val="Mkatabulky"/>
        <w:tblpPr w:leftFromText="141" w:rightFromText="141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1F7A" w14:paraId="40B3F581" w14:textId="77777777" w:rsidTr="00181F7A">
        <w:trPr>
          <w:trHeight w:val="68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7979EB3" w14:textId="77777777" w:rsidR="00181F7A" w:rsidRDefault="00181F7A" w:rsidP="00181F7A">
            <w:pPr>
              <w:pStyle w:val="Normln1"/>
              <w:widowControl w:val="0"/>
              <w:autoSpaceDE w:val="0"/>
              <w:autoSpaceDN w:val="0"/>
              <w:adjustRightInd w:val="0"/>
              <w:spacing w:before="0" w:beforeAutospacing="0" w:after="120" w:afterAutospacing="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……………………………….</w:t>
            </w:r>
          </w:p>
          <w:p w14:paraId="1EB00D06" w14:textId="77777777" w:rsidR="00181F7A" w:rsidRDefault="00181F7A" w:rsidP="00181F7A">
            <w:pPr>
              <w:pStyle w:val="Normln1"/>
              <w:widowControl w:val="0"/>
              <w:autoSpaceDE w:val="0"/>
              <w:autoSpaceDN w:val="0"/>
              <w:adjustRightInd w:val="0"/>
              <w:spacing w:before="0" w:beforeAutospacing="0" w:after="120" w:afterAutospacing="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Obec Středokluky</w:t>
            </w:r>
          </w:p>
          <w:p w14:paraId="62F06A68" w14:textId="77777777" w:rsidR="00181F7A" w:rsidRDefault="00181F7A" w:rsidP="00181F7A">
            <w:pPr>
              <w:pStyle w:val="Normln1"/>
              <w:widowControl w:val="0"/>
              <w:autoSpaceDE w:val="0"/>
              <w:autoSpaceDN w:val="0"/>
              <w:adjustRightInd w:val="0"/>
              <w:spacing w:before="0" w:beforeAutospacing="0" w:after="120" w:afterAutospacing="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Ing. Jaroslav Paznocht</w:t>
            </w:r>
          </w:p>
          <w:p w14:paraId="3C2EFFB5" w14:textId="77777777" w:rsidR="00181F7A" w:rsidRPr="00665BB6" w:rsidRDefault="00181F7A" w:rsidP="00181F7A">
            <w:pPr>
              <w:pStyle w:val="Normln1"/>
              <w:widowControl w:val="0"/>
              <w:autoSpaceDE w:val="0"/>
              <w:autoSpaceDN w:val="0"/>
              <w:adjustRightInd w:val="0"/>
              <w:spacing w:before="0" w:beforeAutospacing="0" w:after="120" w:afterAutospacing="0" w:line="276" w:lineRule="auto"/>
              <w:jc w:val="center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665BB6">
              <w:rPr>
                <w:rFonts w:ascii="Times New Roman" w:hAnsi="Times New Roman"/>
                <w:i/>
                <w:iCs/>
                <w:sz w:val="23"/>
                <w:szCs w:val="23"/>
              </w:rPr>
              <w:t>starosta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2149A1E" w14:textId="77777777" w:rsidR="00181F7A" w:rsidRPr="00B364D6" w:rsidRDefault="00181F7A" w:rsidP="00181F7A">
            <w:pPr>
              <w:pStyle w:val="Normln1"/>
              <w:widowControl w:val="0"/>
              <w:autoSpaceDE w:val="0"/>
              <w:autoSpaceDN w:val="0"/>
              <w:adjustRightInd w:val="0"/>
              <w:spacing w:before="0" w:beforeAutospacing="0" w:after="120" w:afterAutospacing="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64D6">
              <w:rPr>
                <w:rFonts w:ascii="Times New Roman" w:hAnsi="Times New Roman"/>
                <w:sz w:val="23"/>
                <w:szCs w:val="23"/>
              </w:rPr>
              <w:t>………………………….</w:t>
            </w:r>
          </w:p>
          <w:p w14:paraId="1B696929" w14:textId="77777777" w:rsidR="00181F7A" w:rsidRPr="00B364D6" w:rsidRDefault="00181F7A" w:rsidP="00181F7A">
            <w:pPr>
              <w:pStyle w:val="Normln1"/>
              <w:widowControl w:val="0"/>
              <w:autoSpaceDE w:val="0"/>
              <w:autoSpaceDN w:val="0"/>
              <w:adjustRightInd w:val="0"/>
              <w:spacing w:before="0" w:beforeAutospacing="0" w:after="120" w:afterAutospacing="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64D6">
              <w:rPr>
                <w:rFonts w:ascii="Times New Roman" w:hAnsi="Times New Roman"/>
                <w:sz w:val="23"/>
                <w:szCs w:val="23"/>
                <w:highlight w:val="yellow"/>
              </w:rPr>
              <w:t>[Doplnit]</w:t>
            </w:r>
          </w:p>
          <w:p w14:paraId="35F411E7" w14:textId="77777777" w:rsidR="00181F7A" w:rsidRPr="00B364D6" w:rsidRDefault="00181F7A" w:rsidP="00181F7A">
            <w:pPr>
              <w:pStyle w:val="Normln1"/>
              <w:widowControl w:val="0"/>
              <w:autoSpaceDE w:val="0"/>
              <w:autoSpaceDN w:val="0"/>
              <w:adjustRightInd w:val="0"/>
              <w:spacing w:before="0" w:beforeAutospacing="0" w:after="120" w:afterAutospacing="0"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64D6">
              <w:rPr>
                <w:rFonts w:ascii="Times New Roman" w:hAnsi="Times New Roman"/>
                <w:sz w:val="23"/>
                <w:szCs w:val="23"/>
                <w:highlight w:val="yellow"/>
              </w:rPr>
              <w:t>[Doplnit]</w:t>
            </w:r>
          </w:p>
          <w:p w14:paraId="6F5F93BF" w14:textId="77777777" w:rsidR="00181F7A" w:rsidRPr="00665BB6" w:rsidRDefault="00181F7A" w:rsidP="00181F7A">
            <w:pPr>
              <w:pStyle w:val="Normln1"/>
              <w:widowControl w:val="0"/>
              <w:autoSpaceDE w:val="0"/>
              <w:autoSpaceDN w:val="0"/>
              <w:adjustRightInd w:val="0"/>
              <w:spacing w:before="0" w:beforeAutospacing="0" w:after="120" w:afterAutospacing="0" w:line="276" w:lineRule="auto"/>
              <w:jc w:val="center"/>
              <w:rPr>
                <w:rFonts w:ascii="Times New Roman" w:hAnsi="Times New Roman"/>
                <w:bCs/>
                <w:i/>
                <w:iCs/>
                <w:sz w:val="23"/>
                <w:szCs w:val="23"/>
              </w:rPr>
            </w:pPr>
          </w:p>
        </w:tc>
      </w:tr>
    </w:tbl>
    <w:p w14:paraId="52DE3E16" w14:textId="77777777" w:rsidR="00181F7A" w:rsidRPr="004D23DE" w:rsidRDefault="00181F7A" w:rsidP="00181F7A">
      <w:pPr>
        <w:pStyle w:val="Normln1"/>
        <w:tabs>
          <w:tab w:val="left" w:pos="5670"/>
        </w:tabs>
        <w:spacing w:before="0" w:beforeAutospacing="0" w:after="120" w:afterAutospacing="0" w:line="276" w:lineRule="auto"/>
        <w:rPr>
          <w:rFonts w:ascii="Times New Roman" w:hAnsi="Times New Roman"/>
          <w:sz w:val="23"/>
          <w:szCs w:val="23"/>
        </w:rPr>
      </w:pPr>
    </w:p>
    <w:p w14:paraId="3300C53C" w14:textId="77777777" w:rsidR="00501DF3" w:rsidRDefault="00501DF3" w:rsidP="00501DF3">
      <w:pPr>
        <w:pStyle w:val="Normln1"/>
        <w:tabs>
          <w:tab w:val="left" w:pos="5670"/>
        </w:tabs>
        <w:spacing w:before="0" w:beforeAutospacing="0" w:after="120" w:afterAutospacing="0" w:line="276" w:lineRule="auto"/>
        <w:ind w:left="720"/>
        <w:rPr>
          <w:rFonts w:ascii="Times New Roman" w:hAnsi="Times New Roman"/>
          <w:sz w:val="23"/>
          <w:szCs w:val="23"/>
        </w:rPr>
      </w:pPr>
    </w:p>
    <w:p w14:paraId="3F9B5036" w14:textId="77777777" w:rsidR="00181F7A" w:rsidRPr="004D23DE" w:rsidRDefault="00181F7A">
      <w:pPr>
        <w:pStyle w:val="Normln1"/>
        <w:tabs>
          <w:tab w:val="left" w:pos="5670"/>
        </w:tabs>
        <w:spacing w:before="0" w:beforeAutospacing="0" w:after="120" w:afterAutospacing="0" w:line="276" w:lineRule="auto"/>
        <w:rPr>
          <w:rFonts w:ascii="Times New Roman" w:hAnsi="Times New Roman"/>
          <w:sz w:val="23"/>
          <w:szCs w:val="23"/>
        </w:rPr>
      </w:pPr>
    </w:p>
    <w:sectPr w:rsidR="00181F7A" w:rsidRPr="004D23DE" w:rsidSect="00912C78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945A" w14:textId="77777777" w:rsidR="000713B4" w:rsidRDefault="000713B4" w:rsidP="006B3C5F">
      <w:pPr>
        <w:spacing w:after="0" w:line="240" w:lineRule="auto"/>
      </w:pPr>
      <w:r>
        <w:separator/>
      </w:r>
    </w:p>
  </w:endnote>
  <w:endnote w:type="continuationSeparator" w:id="0">
    <w:p w14:paraId="279240A3" w14:textId="77777777" w:rsidR="000713B4" w:rsidRDefault="000713B4" w:rsidP="006B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985531"/>
      <w:docPartObj>
        <w:docPartGallery w:val="Page Numbers (Bottom of Page)"/>
        <w:docPartUnique/>
      </w:docPartObj>
    </w:sdtPr>
    <w:sdtEndPr/>
    <w:sdtContent>
      <w:p w14:paraId="1D7BD149" w14:textId="77777777" w:rsidR="006B3C5F" w:rsidRDefault="006B3C5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C4E">
          <w:rPr>
            <w:noProof/>
          </w:rPr>
          <w:t>3</w:t>
        </w:r>
        <w:r>
          <w:fldChar w:fldCharType="end"/>
        </w:r>
      </w:p>
    </w:sdtContent>
  </w:sdt>
  <w:p w14:paraId="321896B1" w14:textId="77777777" w:rsidR="006B3C5F" w:rsidRDefault="006B3C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83CB" w14:textId="77777777" w:rsidR="000713B4" w:rsidRDefault="000713B4" w:rsidP="006B3C5F">
      <w:pPr>
        <w:spacing w:after="0" w:line="240" w:lineRule="auto"/>
      </w:pPr>
      <w:r>
        <w:separator/>
      </w:r>
    </w:p>
  </w:footnote>
  <w:footnote w:type="continuationSeparator" w:id="0">
    <w:p w14:paraId="55028F20" w14:textId="77777777" w:rsidR="000713B4" w:rsidRDefault="000713B4" w:rsidP="006B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F59"/>
    <w:multiLevelType w:val="hybridMultilevel"/>
    <w:tmpl w:val="F698D712"/>
    <w:lvl w:ilvl="0" w:tplc="9BC8E62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947"/>
    <w:multiLevelType w:val="hybridMultilevel"/>
    <w:tmpl w:val="CC768A8C"/>
    <w:lvl w:ilvl="0" w:tplc="9BC8E62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0749E9"/>
    <w:multiLevelType w:val="hybridMultilevel"/>
    <w:tmpl w:val="80A81D90"/>
    <w:lvl w:ilvl="0" w:tplc="ABE85D24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61F9D"/>
    <w:multiLevelType w:val="multilevel"/>
    <w:tmpl w:val="1C4E36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A628E5"/>
    <w:multiLevelType w:val="multilevel"/>
    <w:tmpl w:val="130615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FBF0089"/>
    <w:multiLevelType w:val="hybridMultilevel"/>
    <w:tmpl w:val="690A1030"/>
    <w:lvl w:ilvl="0" w:tplc="DDF471C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67FE"/>
    <w:multiLevelType w:val="hybridMultilevel"/>
    <w:tmpl w:val="71D43F08"/>
    <w:lvl w:ilvl="0" w:tplc="ABE85D2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A416D"/>
    <w:multiLevelType w:val="hybridMultilevel"/>
    <w:tmpl w:val="431A89AA"/>
    <w:lvl w:ilvl="0" w:tplc="873477F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4672"/>
    <w:multiLevelType w:val="hybridMultilevel"/>
    <w:tmpl w:val="7E9EF7A2"/>
    <w:lvl w:ilvl="0" w:tplc="43047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263D5"/>
    <w:multiLevelType w:val="hybridMultilevel"/>
    <w:tmpl w:val="3F12F830"/>
    <w:lvl w:ilvl="0" w:tplc="9BC8E62C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C55B26"/>
    <w:multiLevelType w:val="hybridMultilevel"/>
    <w:tmpl w:val="3A5679F4"/>
    <w:lvl w:ilvl="0" w:tplc="873477F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81527"/>
    <w:multiLevelType w:val="multilevel"/>
    <w:tmpl w:val="5F4C82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3"/>
      </w:rPr>
    </w:lvl>
  </w:abstractNum>
  <w:abstractNum w:abstractNumId="12" w15:restartNumberingAfterBreak="0">
    <w:nsid w:val="440238EC"/>
    <w:multiLevelType w:val="hybridMultilevel"/>
    <w:tmpl w:val="D5D4C5AE"/>
    <w:lvl w:ilvl="0" w:tplc="85B4DF12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A63FD"/>
    <w:multiLevelType w:val="hybridMultilevel"/>
    <w:tmpl w:val="71789F72"/>
    <w:lvl w:ilvl="0" w:tplc="60E6B91A">
      <w:start w:val="1"/>
      <w:numFmt w:val="decimal"/>
      <w:lvlText w:val="2.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74E10"/>
    <w:multiLevelType w:val="hybridMultilevel"/>
    <w:tmpl w:val="F04630C0"/>
    <w:lvl w:ilvl="0" w:tplc="60E6B91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4035"/>
    <w:multiLevelType w:val="hybridMultilevel"/>
    <w:tmpl w:val="D3B44964"/>
    <w:lvl w:ilvl="0" w:tplc="E7B246E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35F9"/>
    <w:multiLevelType w:val="multilevel"/>
    <w:tmpl w:val="86C80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BEB3D8E"/>
    <w:multiLevelType w:val="multilevel"/>
    <w:tmpl w:val="864A5C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D405F1B"/>
    <w:multiLevelType w:val="hybridMultilevel"/>
    <w:tmpl w:val="BF7463CA"/>
    <w:lvl w:ilvl="0" w:tplc="85B4DF12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E530D"/>
    <w:multiLevelType w:val="hybridMultilevel"/>
    <w:tmpl w:val="BFF6BA76"/>
    <w:lvl w:ilvl="0" w:tplc="ABE85D2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470511">
    <w:abstractNumId w:val="8"/>
  </w:num>
  <w:num w:numId="2" w16cid:durableId="1274245338">
    <w:abstractNumId w:val="11"/>
  </w:num>
  <w:num w:numId="3" w16cid:durableId="2082871423">
    <w:abstractNumId w:val="14"/>
  </w:num>
  <w:num w:numId="4" w16cid:durableId="226428374">
    <w:abstractNumId w:val="13"/>
  </w:num>
  <w:num w:numId="5" w16cid:durableId="930511399">
    <w:abstractNumId w:val="0"/>
  </w:num>
  <w:num w:numId="6" w16cid:durableId="909777483">
    <w:abstractNumId w:val="1"/>
  </w:num>
  <w:num w:numId="7" w16cid:durableId="586227737">
    <w:abstractNumId w:val="9"/>
  </w:num>
  <w:num w:numId="8" w16cid:durableId="341854835">
    <w:abstractNumId w:val="15"/>
  </w:num>
  <w:num w:numId="9" w16cid:durableId="820804482">
    <w:abstractNumId w:val="19"/>
  </w:num>
  <w:num w:numId="10" w16cid:durableId="1519539273">
    <w:abstractNumId w:val="2"/>
  </w:num>
  <w:num w:numId="11" w16cid:durableId="60753954">
    <w:abstractNumId w:val="6"/>
  </w:num>
  <w:num w:numId="12" w16cid:durableId="677805002">
    <w:abstractNumId w:val="7"/>
  </w:num>
  <w:num w:numId="13" w16cid:durableId="1360156767">
    <w:abstractNumId w:val="10"/>
  </w:num>
  <w:num w:numId="14" w16cid:durableId="966668909">
    <w:abstractNumId w:val="18"/>
  </w:num>
  <w:num w:numId="15" w16cid:durableId="1877814483">
    <w:abstractNumId w:val="12"/>
  </w:num>
  <w:num w:numId="16" w16cid:durableId="1283535122">
    <w:abstractNumId w:val="4"/>
  </w:num>
  <w:num w:numId="17" w16cid:durableId="312025277">
    <w:abstractNumId w:val="5"/>
  </w:num>
  <w:num w:numId="18" w16cid:durableId="1143892051">
    <w:abstractNumId w:val="3"/>
  </w:num>
  <w:num w:numId="19" w16cid:durableId="272371810">
    <w:abstractNumId w:val="17"/>
  </w:num>
  <w:num w:numId="20" w16cid:durableId="6532205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C78"/>
    <w:rsid w:val="00006B7C"/>
    <w:rsid w:val="0001763C"/>
    <w:rsid w:val="00061F04"/>
    <w:rsid w:val="0006223A"/>
    <w:rsid w:val="00070E3F"/>
    <w:rsid w:val="000713B4"/>
    <w:rsid w:val="00093387"/>
    <w:rsid w:val="000C7158"/>
    <w:rsid w:val="001629D2"/>
    <w:rsid w:val="00163B33"/>
    <w:rsid w:val="00175F70"/>
    <w:rsid w:val="00181F7A"/>
    <w:rsid w:val="001A4F22"/>
    <w:rsid w:val="001D7F81"/>
    <w:rsid w:val="00232DDA"/>
    <w:rsid w:val="002357D8"/>
    <w:rsid w:val="002819E0"/>
    <w:rsid w:val="002940E0"/>
    <w:rsid w:val="00294D0F"/>
    <w:rsid w:val="00301EC3"/>
    <w:rsid w:val="00331684"/>
    <w:rsid w:val="00340577"/>
    <w:rsid w:val="00374D07"/>
    <w:rsid w:val="003F59CD"/>
    <w:rsid w:val="00426EC9"/>
    <w:rsid w:val="004A4161"/>
    <w:rsid w:val="004B72D2"/>
    <w:rsid w:val="004D0EFF"/>
    <w:rsid w:val="004D2F2B"/>
    <w:rsid w:val="00501DF3"/>
    <w:rsid w:val="00512336"/>
    <w:rsid w:val="00516842"/>
    <w:rsid w:val="00527F21"/>
    <w:rsid w:val="00536C7E"/>
    <w:rsid w:val="00553675"/>
    <w:rsid w:val="00590C81"/>
    <w:rsid w:val="00680EAE"/>
    <w:rsid w:val="00695695"/>
    <w:rsid w:val="006B3C5F"/>
    <w:rsid w:val="006E5C56"/>
    <w:rsid w:val="0072542C"/>
    <w:rsid w:val="007D480E"/>
    <w:rsid w:val="007E6B89"/>
    <w:rsid w:val="00806D99"/>
    <w:rsid w:val="008756B7"/>
    <w:rsid w:val="00877466"/>
    <w:rsid w:val="00905630"/>
    <w:rsid w:val="00912C78"/>
    <w:rsid w:val="009366A9"/>
    <w:rsid w:val="009F5CF8"/>
    <w:rsid w:val="009F7A5F"/>
    <w:rsid w:val="00A21E6C"/>
    <w:rsid w:val="00AA031C"/>
    <w:rsid w:val="00B36D67"/>
    <w:rsid w:val="00B66824"/>
    <w:rsid w:val="00B71EAF"/>
    <w:rsid w:val="00B76145"/>
    <w:rsid w:val="00C55C4E"/>
    <w:rsid w:val="00C56E67"/>
    <w:rsid w:val="00C620AB"/>
    <w:rsid w:val="00C900DE"/>
    <w:rsid w:val="00CD447A"/>
    <w:rsid w:val="00CD52A6"/>
    <w:rsid w:val="00D7080A"/>
    <w:rsid w:val="00D86C6B"/>
    <w:rsid w:val="00E02FDD"/>
    <w:rsid w:val="00E04D9A"/>
    <w:rsid w:val="00EB55B8"/>
    <w:rsid w:val="00EC4B74"/>
    <w:rsid w:val="00F1630F"/>
    <w:rsid w:val="00F61291"/>
    <w:rsid w:val="00FA5E19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17CB"/>
  <w15:docId w15:val="{A91CA67C-B41D-424D-B00C-DB1D3E73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semiHidden/>
    <w:rsid w:val="00912C78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2C78"/>
    <w:pPr>
      <w:ind w:left="720"/>
      <w:contextualSpacing/>
    </w:pPr>
  </w:style>
  <w:style w:type="paragraph" w:customStyle="1" w:styleId="Default">
    <w:name w:val="Default"/>
    <w:rsid w:val="004D2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01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4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C5F"/>
  </w:style>
  <w:style w:type="paragraph" w:styleId="Zpat">
    <w:name w:val="footer"/>
    <w:basedOn w:val="Normln"/>
    <w:link w:val="ZpatChar"/>
    <w:uiPriority w:val="99"/>
    <w:unhideWhenUsed/>
    <w:rsid w:val="006B3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365D4A020E54B827AB826EB362101" ma:contentTypeVersion="11" ma:contentTypeDescription="Vytvoří nový dokument" ma:contentTypeScope="" ma:versionID="e6eb2df39d5c805b5f2364136c0ca97b">
  <xsd:schema xmlns:xsd="http://www.w3.org/2001/XMLSchema" xmlns:xs="http://www.w3.org/2001/XMLSchema" xmlns:p="http://schemas.microsoft.com/office/2006/metadata/properties" xmlns:ns2="67a8b9e8-0533-4354-95f5-a9f81803f0e1" xmlns:ns3="5df14910-f9c9-4e9d-8dff-1054d53a958d" targetNamespace="http://schemas.microsoft.com/office/2006/metadata/properties" ma:root="true" ma:fieldsID="17344b607127dca0daa365b55bc591c1" ns2:_="" ns3:_="">
    <xsd:import namespace="67a8b9e8-0533-4354-95f5-a9f81803f0e1"/>
    <xsd:import namespace="5df14910-f9c9-4e9d-8dff-1054d53a9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8b9e8-0533-4354-95f5-a9f81803f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7ac4c69e-5a71-4431-80c5-4ed940e33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4910-f9c9-4e9d-8dff-1054d53a95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0dcc40-6cc6-49aa-b0c9-d146088393cd}" ma:internalName="TaxCatchAll" ma:showField="CatchAllData" ma:web="5df14910-f9c9-4e9d-8dff-1054d53a9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780E-BF1A-420A-877B-8989DA8AB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5E841-4187-4313-A126-1B9DADF77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8b9e8-0533-4354-95f5-a9f81803f0e1"/>
    <ds:schemaRef ds:uri="5df14910-f9c9-4e9d-8dff-1054d53a9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1B5EA-4890-459F-B5F5-D14C0B50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1294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 Petrů - Obec Středokluky</cp:lastModifiedBy>
  <cp:revision>8</cp:revision>
  <cp:lastPrinted>2023-06-12T12:51:00Z</cp:lastPrinted>
  <dcterms:created xsi:type="dcterms:W3CDTF">2023-06-19T07:32:00Z</dcterms:created>
  <dcterms:modified xsi:type="dcterms:W3CDTF">2023-06-29T23:07:00Z</dcterms:modified>
</cp:coreProperties>
</file>