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C677A5">
        <w:rPr>
          <w:rFonts w:cs="Arial"/>
          <w:b w:val="0"/>
          <w:sz w:val="28"/>
          <w:szCs w:val="28"/>
          <w:highlight w:val="yellow"/>
        </w:rPr>
        <w:t>XXX</w:t>
      </w:r>
      <w:r w:rsidR="00767EBE" w:rsidRPr="00C677A5">
        <w:rPr>
          <w:rFonts w:cs="Arial"/>
          <w:b w:val="0"/>
          <w:sz w:val="28"/>
          <w:szCs w:val="28"/>
          <w:highlight w:val="yellow"/>
        </w:rPr>
        <w:t>/201</w:t>
      </w:r>
      <w:r w:rsidR="00C677A5" w:rsidRPr="00C677A5">
        <w:rPr>
          <w:rFonts w:cs="Arial"/>
          <w:b w:val="0"/>
          <w:sz w:val="28"/>
          <w:szCs w:val="28"/>
          <w:highlight w:val="yellow"/>
        </w:rPr>
        <w:t>8</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E230C" w:rsidRDefault="00820C91" w:rsidP="00820C91">
      <w:pPr>
        <w:rPr>
          <w:rStyle w:val="platne1"/>
          <w:rFonts w:ascii="Arial" w:hAnsi="Arial" w:cs="Arial"/>
          <w:sz w:val="20"/>
          <w:szCs w:val="20"/>
        </w:rPr>
      </w:pPr>
      <w:r w:rsidRPr="00E95C74">
        <w:rPr>
          <w:rFonts w:ascii="Arial" w:hAnsi="Arial" w:cs="Arial"/>
          <w:sz w:val="22"/>
          <w:szCs w:val="22"/>
        </w:rPr>
        <w:t>1. OBJEDNATEL:</w:t>
      </w:r>
      <w:r>
        <w:rPr>
          <w:rFonts w:ascii="Arial" w:hAnsi="Arial" w:cs="Arial"/>
          <w:b/>
          <w:sz w:val="22"/>
          <w:szCs w:val="22"/>
        </w:rPr>
        <w:tab/>
      </w:r>
      <w:r w:rsidR="008E230C" w:rsidRPr="00AF2781">
        <w:rPr>
          <w:rFonts w:ascii="Arial" w:hAnsi="Arial" w:cs="Arial"/>
          <w:sz w:val="20"/>
          <w:szCs w:val="20"/>
        </w:rPr>
        <w:t xml:space="preserve">Obec </w:t>
      </w:r>
      <w:r w:rsidR="00EA1387">
        <w:rPr>
          <w:rFonts w:ascii="Arial" w:hAnsi="Arial" w:cs="Arial"/>
          <w:sz w:val="20"/>
          <w:szCs w:val="20"/>
        </w:rPr>
        <w:t>Středokluky</w:t>
      </w: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p>
    <w:p w:rsidR="00820C91" w:rsidRPr="00BE10A4" w:rsidRDefault="00820C91" w:rsidP="008E230C">
      <w:pPr>
        <w:ind w:left="1416" w:firstLine="708"/>
        <w:rPr>
          <w:rFonts w:ascii="Arial" w:hAnsi="Arial" w:cs="Arial"/>
          <w:sz w:val="20"/>
          <w:szCs w:val="20"/>
          <w:highlight w:val="magenta"/>
        </w:rPr>
      </w:pPr>
      <w:r w:rsidRPr="00BE10A4">
        <w:rPr>
          <w:rStyle w:val="platne1"/>
          <w:rFonts w:ascii="Arial" w:hAnsi="Arial" w:cs="Arial"/>
          <w:sz w:val="20"/>
          <w:szCs w:val="20"/>
        </w:rPr>
        <w:t xml:space="preserve">se sídlem: </w:t>
      </w:r>
      <w:r w:rsidR="00EA1387">
        <w:rPr>
          <w:rFonts w:ascii="Arial" w:hAnsi="Arial" w:cs="Arial"/>
          <w:sz w:val="20"/>
          <w:szCs w:val="20"/>
        </w:rPr>
        <w:t>Lidická 61, 252 68 Středokluky</w:t>
      </w:r>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zastoupená: </w:t>
      </w:r>
      <w:r w:rsidR="00EA1387">
        <w:rPr>
          <w:rFonts w:ascii="Arial" w:hAnsi="Arial" w:cs="Arial"/>
          <w:sz w:val="20"/>
          <w:szCs w:val="20"/>
        </w:rPr>
        <w:t>Ing. Jaroslavem Paznochtem</w:t>
      </w:r>
      <w:r w:rsidR="008E230C" w:rsidRPr="008E230C">
        <w:rPr>
          <w:rFonts w:ascii="Arial" w:hAnsi="Arial" w:cs="Arial"/>
          <w:sz w:val="20"/>
          <w:szCs w:val="20"/>
        </w:rPr>
        <w:t>, starostou obce</w:t>
      </w:r>
    </w:p>
    <w:p w:rsidR="00820C91" w:rsidRPr="00BE10A4" w:rsidRDefault="00820C91" w:rsidP="00820C91">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EA1387">
        <w:rPr>
          <w:rFonts w:ascii="Arial" w:hAnsi="Arial" w:cs="Arial"/>
          <w:sz w:val="20"/>
          <w:szCs w:val="20"/>
        </w:rPr>
        <w:t>00241695</w:t>
      </w:r>
      <w:r w:rsidR="008E230C">
        <w:rPr>
          <w:rFonts w:ascii="Arial" w:hAnsi="Arial" w:cs="Arial"/>
          <w:sz w:val="20"/>
          <w:szCs w:val="20"/>
        </w:rPr>
        <w:tab/>
      </w:r>
      <w:r w:rsidR="008E230C">
        <w:rPr>
          <w:rFonts w:ascii="Arial" w:hAnsi="Arial" w:cs="Arial"/>
          <w:sz w:val="20"/>
          <w:szCs w:val="20"/>
        </w:rPr>
        <w:tab/>
      </w:r>
    </w:p>
    <w:p w:rsidR="00292358" w:rsidRPr="008E230C" w:rsidRDefault="00820C91" w:rsidP="00292358">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292358" w:rsidRPr="008E230C">
        <w:rPr>
          <w:rFonts w:ascii="Arial" w:hAnsi="Arial" w:cs="Arial"/>
          <w:sz w:val="20"/>
          <w:szCs w:val="20"/>
        </w:rPr>
        <w:t xml:space="preserve">Bankovní spojení: </w:t>
      </w:r>
      <w:r w:rsidR="00EA1387">
        <w:rPr>
          <w:rFonts w:ascii="Arial" w:hAnsi="Arial" w:cs="Arial"/>
          <w:sz w:val="20"/>
          <w:szCs w:val="20"/>
        </w:rPr>
        <w:t>Komerční banka</w:t>
      </w:r>
      <w:r w:rsidR="00AF2781">
        <w:rPr>
          <w:rFonts w:ascii="Arial" w:hAnsi="Arial" w:cs="Arial"/>
          <w:sz w:val="20"/>
          <w:szCs w:val="20"/>
        </w:rPr>
        <w:t>,</w:t>
      </w:r>
      <w:r w:rsidR="00292358" w:rsidRPr="008E230C">
        <w:rPr>
          <w:rFonts w:ascii="Arial" w:hAnsi="Arial" w:cs="Arial"/>
          <w:sz w:val="20"/>
          <w:szCs w:val="20"/>
        </w:rPr>
        <w:t xml:space="preserve"> a. s.</w:t>
      </w:r>
    </w:p>
    <w:p w:rsidR="00292358" w:rsidRPr="008E230C" w:rsidRDefault="00292358" w:rsidP="00292358">
      <w:pPr>
        <w:ind w:left="1416" w:firstLine="708"/>
        <w:rPr>
          <w:rFonts w:ascii="Arial" w:hAnsi="Arial" w:cs="Arial"/>
          <w:sz w:val="20"/>
          <w:szCs w:val="20"/>
        </w:rPr>
      </w:pPr>
      <w:r w:rsidRPr="008E230C">
        <w:rPr>
          <w:rFonts w:ascii="Arial" w:hAnsi="Arial" w:cs="Arial"/>
          <w:sz w:val="20"/>
          <w:szCs w:val="20"/>
        </w:rPr>
        <w:t xml:space="preserve">Číslo účtu: </w:t>
      </w:r>
      <w:r w:rsidR="00EA1387">
        <w:rPr>
          <w:rFonts w:ascii="Arial" w:hAnsi="Arial" w:cs="Arial"/>
          <w:sz w:val="20"/>
          <w:szCs w:val="20"/>
        </w:rPr>
        <w:t>6125111/0100</w:t>
      </w:r>
    </w:p>
    <w:p w:rsidR="00E94ED9" w:rsidRDefault="00820C91" w:rsidP="00820C91">
      <w:pPr>
        <w:ind w:left="1416" w:firstLine="708"/>
      </w:pPr>
      <w:r w:rsidRPr="00BE10A4">
        <w:rPr>
          <w:rStyle w:val="platne1"/>
          <w:rFonts w:ascii="Arial" w:hAnsi="Arial" w:cs="Arial"/>
          <w:sz w:val="20"/>
          <w:szCs w:val="20"/>
        </w:rPr>
        <w:t>tel.:+420</w:t>
      </w:r>
      <w:r w:rsidR="00EA1387">
        <w:rPr>
          <w:rStyle w:val="platne1"/>
          <w:rFonts w:ascii="Arial" w:hAnsi="Arial" w:cs="Arial"/>
          <w:sz w:val="20"/>
          <w:szCs w:val="20"/>
        </w:rPr>
        <w:t> </w:t>
      </w:r>
      <w:r w:rsidR="00EA1387">
        <w:rPr>
          <w:rFonts w:ascii="Arial" w:hAnsi="Arial" w:cs="Arial"/>
          <w:sz w:val="20"/>
          <w:szCs w:val="20"/>
        </w:rPr>
        <w:t>233 900 787</w:t>
      </w:r>
      <w:r w:rsidRPr="00BE10A4">
        <w:rPr>
          <w:rStyle w:val="platne1"/>
          <w:rFonts w:ascii="Arial" w:hAnsi="Arial" w:cs="Arial"/>
          <w:sz w:val="20"/>
          <w:szCs w:val="20"/>
        </w:rPr>
        <w:t xml:space="preserve">, e-mail: </w:t>
      </w:r>
      <w:r w:rsidR="00EA1387">
        <w:rPr>
          <w:rFonts w:ascii="Arial" w:hAnsi="Arial" w:cs="Arial"/>
          <w:sz w:val="20"/>
          <w:szCs w:val="20"/>
        </w:rPr>
        <w:t>obec</w:t>
      </w:r>
      <w:r w:rsidR="0033061E">
        <w:rPr>
          <w:rFonts w:ascii="Arial" w:hAnsi="Arial" w:cs="Arial"/>
          <w:sz w:val="20"/>
          <w:szCs w:val="20"/>
        </w:rPr>
        <w:t>@</w:t>
      </w:r>
      <w:r w:rsidR="00EA1387">
        <w:rPr>
          <w:rFonts w:ascii="Arial" w:hAnsi="Arial" w:cs="Arial"/>
          <w:sz w:val="20"/>
          <w:szCs w:val="20"/>
        </w:rPr>
        <w:t>stredokluky</w:t>
      </w:r>
      <w:r w:rsidR="0033061E">
        <w:rPr>
          <w:rFonts w:ascii="Arial" w:hAnsi="Arial" w:cs="Arial"/>
          <w:sz w:val="20"/>
          <w:szCs w:val="20"/>
        </w:rPr>
        <w:t>.cz</w:t>
      </w:r>
    </w:p>
    <w:p w:rsidR="008E230C" w:rsidRDefault="008E230C" w:rsidP="00820C91">
      <w:pPr>
        <w:ind w:left="1416" w:firstLine="708"/>
        <w:rPr>
          <w:rFonts w:ascii="Arial" w:hAnsi="Arial" w:cs="Arial"/>
          <w:sz w:val="20"/>
          <w:szCs w:val="20"/>
        </w:rPr>
      </w:pPr>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  DIČ: ……………………..</w:t>
      </w:r>
    </w:p>
    <w:p w:rsidR="00820C91" w:rsidRPr="00B811F3" w:rsidRDefault="00820C91" w:rsidP="00820C91">
      <w:pPr>
        <w:rPr>
          <w:rStyle w:val="platne1"/>
          <w:rFonts w:ascii="Arial" w:hAnsi="Arial" w:cs="Arial"/>
          <w:sz w:val="20"/>
          <w:szCs w:val="20"/>
        </w:rPr>
      </w:pPr>
      <w:r w:rsidRPr="00B811F3">
        <w:rPr>
          <w:rFonts w:ascii="Arial" w:hAnsi="Arial" w:cs="Arial"/>
          <w:sz w:val="20"/>
          <w:szCs w:val="20"/>
          <w:highlight w:val="yellow"/>
        </w:rPr>
        <w:t xml:space="preserve"> </w:t>
      </w:r>
      <w:r w:rsidRPr="00B811F3">
        <w:rPr>
          <w:rFonts w:ascii="Arial" w:hAnsi="Arial" w:cs="Arial"/>
          <w:b/>
          <w:sz w:val="20"/>
          <w:szCs w:val="20"/>
          <w:highlight w:val="yellow"/>
        </w:rPr>
        <w:t xml:space="preserve">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č.ú. ……………………….</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81771"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A81771">
        <w:rPr>
          <w:rFonts w:ascii="Arial" w:hAnsi="Arial" w:cs="Arial"/>
          <w:sz w:val="20"/>
          <w:szCs w:val="20"/>
        </w:rPr>
        <w:t xml:space="preserve">Objednatel výslovně </w:t>
      </w:r>
      <w:r w:rsidRPr="00252B1B">
        <w:rPr>
          <w:rFonts w:ascii="Arial" w:hAnsi="Arial" w:cs="Arial"/>
          <w:sz w:val="20"/>
          <w:szCs w:val="20"/>
        </w:rPr>
        <w:t xml:space="preserve">prohlašuje, že </w:t>
      </w:r>
      <w:r w:rsidR="004D24AA" w:rsidRPr="00252B1B">
        <w:rPr>
          <w:rFonts w:ascii="Arial" w:hAnsi="Arial" w:cs="Arial"/>
          <w:sz w:val="20"/>
          <w:szCs w:val="20"/>
        </w:rPr>
        <w:t>je oprávněn realizovat stavbu</w:t>
      </w:r>
      <w:r w:rsidRPr="00252B1B">
        <w:rPr>
          <w:rFonts w:ascii="Arial" w:hAnsi="Arial" w:cs="Arial"/>
          <w:sz w:val="20"/>
          <w:szCs w:val="20"/>
        </w:rPr>
        <w:t xml:space="preserve"> </w:t>
      </w:r>
      <w:r w:rsidR="00292358" w:rsidRPr="00252B1B">
        <w:rPr>
          <w:rFonts w:ascii="Arial" w:hAnsi="Arial" w:cs="Arial"/>
          <w:sz w:val="20"/>
          <w:szCs w:val="20"/>
        </w:rPr>
        <w:t>–</w:t>
      </w:r>
      <w:r w:rsidR="0033061E" w:rsidRPr="00252B1B">
        <w:rPr>
          <w:rFonts w:ascii="Arial" w:hAnsi="Arial" w:cs="Arial"/>
          <w:sz w:val="20"/>
          <w:szCs w:val="20"/>
        </w:rPr>
        <w:t xml:space="preserve"> </w:t>
      </w:r>
      <w:r w:rsidR="00EA1387" w:rsidRPr="00EA1387">
        <w:rPr>
          <w:rFonts w:ascii="Arial" w:hAnsi="Arial" w:cs="Arial"/>
          <w:sz w:val="20"/>
          <w:szCs w:val="20"/>
        </w:rPr>
        <w:t>výstavb</w:t>
      </w:r>
      <w:r w:rsidR="00EA1387">
        <w:rPr>
          <w:rFonts w:ascii="Arial" w:hAnsi="Arial" w:cs="Arial"/>
          <w:sz w:val="20"/>
          <w:szCs w:val="20"/>
        </w:rPr>
        <w:t>u</w:t>
      </w:r>
      <w:r w:rsidR="00EA1387" w:rsidRPr="00EA1387">
        <w:rPr>
          <w:rFonts w:ascii="Arial" w:hAnsi="Arial" w:cs="Arial"/>
          <w:sz w:val="20"/>
          <w:szCs w:val="20"/>
        </w:rPr>
        <w:t xml:space="preserve"> multifunkčního sportovního školního hřiště s běžeckou dráhou a zázemím (skladem) základní školy v obci Středokluky</w:t>
      </w:r>
      <w:r w:rsidR="00252B1B" w:rsidRPr="00252B1B">
        <w:rPr>
          <w:rFonts w:ascii="Arial" w:hAnsi="Arial" w:cs="Arial"/>
          <w:sz w:val="20"/>
          <w:szCs w:val="20"/>
        </w:rPr>
        <w:t xml:space="preserve"> </w:t>
      </w:r>
      <w:r w:rsidR="00EA1387">
        <w:rPr>
          <w:rFonts w:ascii="Arial" w:hAnsi="Arial" w:cs="Arial"/>
          <w:sz w:val="20"/>
          <w:szCs w:val="20"/>
        </w:rPr>
        <w:t xml:space="preserve">na pozemku par. č. </w:t>
      </w:r>
      <w:r w:rsidR="00EA1387">
        <w:rPr>
          <w:rFonts w:ascii="Arial" w:hAnsi="Arial" w:cs="Arial"/>
          <w:b/>
          <w:sz w:val="20"/>
          <w:szCs w:val="20"/>
        </w:rPr>
        <w:t xml:space="preserve">53/14, 541 a 211 k. ú. Středokluky </w:t>
      </w:r>
      <w:r w:rsidR="00D417DD" w:rsidRPr="00252B1B">
        <w:rPr>
          <w:rFonts w:ascii="Arial" w:hAnsi="Arial" w:cs="Arial"/>
          <w:sz w:val="20"/>
          <w:szCs w:val="20"/>
        </w:rPr>
        <w:t>z</w:t>
      </w:r>
      <w:r w:rsidRPr="00252B1B">
        <w:rPr>
          <w:rFonts w:ascii="Arial" w:hAnsi="Arial" w:cs="Arial"/>
          <w:sz w:val="20"/>
          <w:szCs w:val="20"/>
        </w:rPr>
        <w:t>apsan</w:t>
      </w:r>
      <w:r w:rsidR="00D417DD" w:rsidRPr="00252B1B">
        <w:rPr>
          <w:rFonts w:ascii="Arial" w:hAnsi="Arial" w:cs="Arial"/>
          <w:sz w:val="20"/>
          <w:szCs w:val="20"/>
        </w:rPr>
        <w:t>ých</w:t>
      </w:r>
      <w:r w:rsidRPr="00252B1B">
        <w:rPr>
          <w:rFonts w:ascii="Arial" w:hAnsi="Arial" w:cs="Arial"/>
          <w:sz w:val="20"/>
          <w:szCs w:val="20"/>
        </w:rPr>
        <w:t xml:space="preserve"> u Katastrálního úřadu </w:t>
      </w:r>
      <w:r w:rsidR="00C8145E" w:rsidRPr="00252B1B">
        <w:rPr>
          <w:rFonts w:ascii="Arial" w:hAnsi="Arial" w:cs="Arial"/>
          <w:sz w:val="20"/>
          <w:szCs w:val="20"/>
        </w:rPr>
        <w:t xml:space="preserve">pro </w:t>
      </w:r>
      <w:r w:rsidR="008E230C" w:rsidRPr="00252B1B">
        <w:rPr>
          <w:rFonts w:ascii="Arial" w:hAnsi="Arial" w:cs="Arial"/>
          <w:sz w:val="20"/>
          <w:szCs w:val="20"/>
        </w:rPr>
        <w:t>Středočeský kraj</w:t>
      </w:r>
      <w:r w:rsidR="00F338BD" w:rsidRPr="00252B1B">
        <w:rPr>
          <w:rFonts w:ascii="Arial" w:hAnsi="Arial" w:cs="Arial"/>
          <w:sz w:val="20"/>
          <w:szCs w:val="20"/>
        </w:rPr>
        <w:t xml:space="preserve">, Katastrální pracoviště </w:t>
      </w:r>
      <w:r w:rsidR="00252B1B" w:rsidRPr="00252B1B">
        <w:rPr>
          <w:rFonts w:ascii="Arial" w:hAnsi="Arial" w:cs="Arial"/>
          <w:sz w:val="20"/>
          <w:szCs w:val="20"/>
        </w:rPr>
        <w:t xml:space="preserve">Praha - </w:t>
      </w:r>
      <w:r w:rsidR="00EA1387">
        <w:rPr>
          <w:rFonts w:ascii="Arial" w:hAnsi="Arial" w:cs="Arial"/>
          <w:sz w:val="20"/>
          <w:szCs w:val="20"/>
        </w:rPr>
        <w:t>západ</w:t>
      </w:r>
      <w:r w:rsidR="002B2677" w:rsidRPr="00252B1B">
        <w:rPr>
          <w:rFonts w:ascii="Arial" w:hAnsi="Arial" w:cs="Arial"/>
          <w:sz w:val="20"/>
          <w:szCs w:val="20"/>
        </w:rPr>
        <w:t xml:space="preserve"> </w:t>
      </w:r>
      <w:r w:rsidR="00023A33" w:rsidRPr="00252B1B">
        <w:rPr>
          <w:rFonts w:ascii="Arial" w:hAnsi="Arial" w:cs="Arial"/>
          <w:sz w:val="20"/>
          <w:szCs w:val="20"/>
        </w:rPr>
        <w:t>(takto specifikované</w:t>
      </w:r>
      <w:r w:rsidRPr="00252B1B">
        <w:rPr>
          <w:rFonts w:ascii="Arial" w:hAnsi="Arial" w:cs="Arial"/>
          <w:sz w:val="20"/>
          <w:szCs w:val="20"/>
        </w:rPr>
        <w:t xml:space="preserve"> budov</w:t>
      </w:r>
      <w:r w:rsidR="00023A33" w:rsidRPr="00252B1B">
        <w:rPr>
          <w:rFonts w:ascii="Arial" w:hAnsi="Arial" w:cs="Arial"/>
          <w:sz w:val="20"/>
          <w:szCs w:val="20"/>
        </w:rPr>
        <w:t>y</w:t>
      </w:r>
      <w:r w:rsidRPr="00252B1B">
        <w:rPr>
          <w:rFonts w:ascii="Arial" w:hAnsi="Arial" w:cs="Arial"/>
          <w:sz w:val="20"/>
          <w:szCs w:val="20"/>
        </w:rPr>
        <w:t xml:space="preserve"> dále také jako „</w:t>
      </w:r>
      <w:r w:rsidRPr="00252B1B">
        <w:rPr>
          <w:rFonts w:ascii="Arial" w:hAnsi="Arial" w:cs="Arial"/>
          <w:b/>
          <w:sz w:val="20"/>
          <w:szCs w:val="20"/>
        </w:rPr>
        <w:t>Nemovitost</w:t>
      </w:r>
      <w:r w:rsidR="00E02E3F" w:rsidRPr="00A81771">
        <w:rPr>
          <w:rFonts w:ascii="Arial" w:hAnsi="Arial" w:cs="Arial"/>
          <w:sz w:val="20"/>
          <w:szCs w:val="20"/>
        </w:rPr>
        <w:t>).</w:t>
      </w:r>
      <w:r w:rsidR="00EA1387">
        <w:rPr>
          <w:rFonts w:ascii="Arial" w:hAnsi="Arial" w:cs="Arial"/>
          <w:sz w:val="20"/>
          <w:szCs w:val="20"/>
        </w:rPr>
        <w:t xml:space="preserve"> </w:t>
      </w:r>
      <w:r w:rsidR="00EA1387" w:rsidRPr="00EA1387">
        <w:rPr>
          <w:rFonts w:ascii="Arial" w:hAnsi="Arial" w:cs="Arial"/>
          <w:sz w:val="20"/>
          <w:szCs w:val="20"/>
        </w:rPr>
        <w:t>Celková výměra hřiště, zázemí a běžecké dráhy je 1001,98 m</w:t>
      </w:r>
      <w:r w:rsidR="00EA1387" w:rsidRPr="00E27DBF">
        <w:rPr>
          <w:rFonts w:ascii="Arial" w:hAnsi="Arial" w:cs="Arial"/>
          <w:sz w:val="20"/>
          <w:szCs w:val="20"/>
          <w:vertAlign w:val="superscript"/>
        </w:rPr>
        <w:t>2</w:t>
      </w:r>
      <w:r w:rsidR="00EA1387" w:rsidRPr="00EA1387">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EA1387" w:rsidRPr="00EA1387">
        <w:rPr>
          <w:rFonts w:ascii="Arial" w:hAnsi="Arial" w:cs="Arial"/>
          <w:sz w:val="20"/>
          <w:szCs w:val="20"/>
        </w:rPr>
        <w:t>výstavb</w:t>
      </w:r>
      <w:r w:rsidR="00EA1387">
        <w:rPr>
          <w:rFonts w:ascii="Arial" w:hAnsi="Arial" w:cs="Arial"/>
          <w:sz w:val="20"/>
          <w:szCs w:val="20"/>
        </w:rPr>
        <w:t>u</w:t>
      </w:r>
      <w:r w:rsidR="00EA1387" w:rsidRPr="00EA1387">
        <w:rPr>
          <w:rFonts w:ascii="Arial" w:hAnsi="Arial" w:cs="Arial"/>
          <w:sz w:val="20"/>
          <w:szCs w:val="20"/>
        </w:rPr>
        <w:t xml:space="preserve"> multifunkčního sportovního školního hřiště s běžeckou dráhou a zázemím (skladem) základní školy v obci Středokluky</w:t>
      </w:r>
      <w:r w:rsidR="00E02E3F">
        <w:rPr>
          <w:rFonts w:ascii="Arial" w:hAnsi="Arial" w:cs="Arial"/>
          <w:sz w:val="20"/>
          <w:szCs w:val="20"/>
        </w:rPr>
        <w:t xml:space="preserve">. </w:t>
      </w:r>
      <w:r w:rsidR="009D1055">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Pr="00252B1B"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w:t>
      </w:r>
      <w:r w:rsidRPr="00252B1B">
        <w:rPr>
          <w:rFonts w:ascii="Arial" w:hAnsi="Arial" w:cs="Arial"/>
          <w:sz w:val="20"/>
          <w:szCs w:val="20"/>
        </w:rPr>
        <w:t xml:space="preserve">kontrole příslušným orgánům státní správy a Evropské unie. </w:t>
      </w:r>
      <w:r w:rsidR="00B45BB7" w:rsidRPr="00252B1B">
        <w:rPr>
          <w:rFonts w:ascii="Arial" w:hAnsi="Arial" w:cs="Arial"/>
          <w:sz w:val="20"/>
          <w:szCs w:val="20"/>
        </w:rPr>
        <w:t xml:space="preserve">Zhotovitel zajistí archivaci dokladů souvisejících s předmětem smlouvy. </w:t>
      </w:r>
      <w:r w:rsidR="001436FF" w:rsidRPr="00252B1B">
        <w:rPr>
          <w:rFonts w:ascii="Arial" w:hAnsi="Arial" w:cs="Arial"/>
          <w:sz w:val="20"/>
          <w:szCs w:val="20"/>
        </w:rPr>
        <w:t xml:space="preserve">Jmenovitě </w:t>
      </w:r>
      <w:r w:rsidR="00B45BB7" w:rsidRPr="00252B1B">
        <w:rPr>
          <w:rFonts w:ascii="Arial" w:hAnsi="Arial" w:cs="Arial"/>
          <w:sz w:val="20"/>
          <w:szCs w:val="20"/>
        </w:rPr>
        <w:t xml:space="preserve">pak účetních a daňových dokladů </w:t>
      </w:r>
      <w:r w:rsidR="00754877" w:rsidRPr="00252B1B">
        <w:rPr>
          <w:rFonts w:ascii="Arial" w:hAnsi="Arial" w:cs="Arial"/>
          <w:sz w:val="20"/>
          <w:szCs w:val="20"/>
        </w:rPr>
        <w:t xml:space="preserve">(vydané i dodavatelské faktury související s touto zakázkou) </w:t>
      </w:r>
      <w:r w:rsidR="00B45BB7" w:rsidRPr="00252B1B">
        <w:rPr>
          <w:rFonts w:ascii="Arial" w:hAnsi="Arial" w:cs="Arial"/>
          <w:sz w:val="20"/>
          <w:szCs w:val="20"/>
        </w:rPr>
        <w:t>a to min. do roku 202</w:t>
      </w:r>
      <w:r w:rsidR="00252B1B" w:rsidRPr="00252B1B">
        <w:rPr>
          <w:rFonts w:ascii="Arial" w:hAnsi="Arial" w:cs="Arial"/>
          <w:sz w:val="20"/>
          <w:szCs w:val="20"/>
        </w:rPr>
        <w:t>7</w:t>
      </w:r>
      <w:r w:rsidR="00B45BB7" w:rsidRPr="00252B1B">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w:t>
      </w:r>
      <w:r w:rsidRPr="00252B1B">
        <w:rPr>
          <w:rFonts w:ascii="Arial" w:hAnsi="Arial" w:cs="Arial"/>
          <w:sz w:val="20"/>
          <w:szCs w:val="20"/>
        </w:rPr>
        <w:t xml:space="preserve">rozsahu a za podmínek dohodnutých v této smlouvě, dílo označené jako </w:t>
      </w:r>
      <w:r w:rsidRPr="00252B1B">
        <w:rPr>
          <w:rFonts w:ascii="Arial" w:hAnsi="Arial" w:cs="Arial"/>
          <w:b/>
          <w:i/>
          <w:sz w:val="20"/>
          <w:szCs w:val="20"/>
        </w:rPr>
        <w:t>„</w:t>
      </w:r>
      <w:r w:rsidR="00C8145E" w:rsidRPr="00252B1B">
        <w:rPr>
          <w:rFonts w:ascii="Arial" w:hAnsi="Arial" w:cs="Arial"/>
          <w:b/>
          <w:i/>
          <w:sz w:val="20"/>
          <w:szCs w:val="20"/>
        </w:rPr>
        <w:t>Nemovitost</w:t>
      </w:r>
      <w:r w:rsidRPr="00252B1B">
        <w:rPr>
          <w:rFonts w:ascii="Arial" w:hAnsi="Arial" w:cs="Arial"/>
          <w:b/>
          <w:i/>
          <w:sz w:val="20"/>
          <w:szCs w:val="20"/>
        </w:rPr>
        <w:t>“</w:t>
      </w:r>
      <w:r w:rsidRPr="00252B1B">
        <w:rPr>
          <w:rFonts w:ascii="Arial" w:hAnsi="Arial" w:cs="Arial"/>
          <w:sz w:val="20"/>
          <w:szCs w:val="20"/>
        </w:rPr>
        <w:t>, spočívající</w:t>
      </w:r>
      <w:r w:rsidR="008A1EC0" w:rsidRPr="00252B1B">
        <w:rPr>
          <w:rFonts w:ascii="Arial" w:hAnsi="Arial" w:cs="Arial"/>
          <w:sz w:val="20"/>
          <w:szCs w:val="20"/>
        </w:rPr>
        <w:t xml:space="preserve"> </w:t>
      </w:r>
      <w:r w:rsidR="00252B1B">
        <w:rPr>
          <w:rFonts w:ascii="Arial" w:hAnsi="Arial" w:cs="Arial"/>
          <w:sz w:val="20"/>
          <w:szCs w:val="20"/>
        </w:rPr>
        <w:t>v</w:t>
      </w:r>
      <w:r w:rsidR="00E27DBF">
        <w:rPr>
          <w:rFonts w:ascii="Arial" w:hAnsi="Arial" w:cs="Arial"/>
          <w:sz w:val="20"/>
          <w:szCs w:val="20"/>
        </w:rPr>
        <w:t>e</w:t>
      </w:r>
      <w:r w:rsidR="00252B1B">
        <w:rPr>
          <w:rFonts w:ascii="Arial" w:hAnsi="Arial" w:cs="Arial"/>
          <w:sz w:val="20"/>
          <w:szCs w:val="20"/>
        </w:rPr>
        <w:t xml:space="preserve"> </w:t>
      </w:r>
      <w:r w:rsidR="00E27DBF" w:rsidRPr="00EA1387">
        <w:rPr>
          <w:rFonts w:ascii="Arial" w:hAnsi="Arial" w:cs="Arial"/>
          <w:sz w:val="20"/>
          <w:szCs w:val="20"/>
        </w:rPr>
        <w:t>výstavb</w:t>
      </w:r>
      <w:r w:rsidR="00E27DBF">
        <w:rPr>
          <w:rFonts w:ascii="Arial" w:hAnsi="Arial" w:cs="Arial"/>
          <w:sz w:val="20"/>
          <w:szCs w:val="20"/>
        </w:rPr>
        <w:t>ě</w:t>
      </w:r>
      <w:r w:rsidR="00E27DBF" w:rsidRPr="00EA1387">
        <w:rPr>
          <w:rFonts w:ascii="Arial" w:hAnsi="Arial" w:cs="Arial"/>
          <w:sz w:val="20"/>
          <w:szCs w:val="20"/>
        </w:rPr>
        <w:t xml:space="preserve"> multifunkčního sportovního školního hřiště s běžeckou dráhou a zázemím (skladem) základní školy v obci Středokluky</w:t>
      </w:r>
      <w:r w:rsidR="00E27DBF" w:rsidRPr="00252B1B">
        <w:rPr>
          <w:rFonts w:ascii="Arial" w:hAnsi="Arial" w:cs="Arial"/>
          <w:sz w:val="20"/>
          <w:szCs w:val="20"/>
        </w:rPr>
        <w:t xml:space="preserve"> </w:t>
      </w:r>
      <w:r w:rsidR="00E27DBF">
        <w:rPr>
          <w:rFonts w:ascii="Arial" w:hAnsi="Arial" w:cs="Arial"/>
          <w:sz w:val="20"/>
          <w:szCs w:val="20"/>
        </w:rPr>
        <w:t xml:space="preserve">na pozemku par. č. </w:t>
      </w:r>
      <w:r w:rsidR="00E27DBF">
        <w:rPr>
          <w:rFonts w:ascii="Arial" w:hAnsi="Arial" w:cs="Arial"/>
          <w:b/>
          <w:sz w:val="20"/>
          <w:szCs w:val="20"/>
        </w:rPr>
        <w:t>53/14, 541 a 211 k. ú. Středokluky</w:t>
      </w:r>
      <w:r w:rsidR="00252B1B" w:rsidRPr="00252B1B">
        <w:rPr>
          <w:rFonts w:ascii="Arial" w:hAnsi="Arial" w:cs="Arial"/>
          <w:sz w:val="20"/>
          <w:szCs w:val="20"/>
        </w:rPr>
        <w:t xml:space="preserve">. </w:t>
      </w:r>
      <w:r w:rsidR="00E27DBF" w:rsidRPr="00EA1387">
        <w:rPr>
          <w:rFonts w:ascii="Arial" w:hAnsi="Arial" w:cs="Arial"/>
          <w:sz w:val="20"/>
          <w:szCs w:val="20"/>
        </w:rPr>
        <w:t>Celková výměra hřiště, zázemí a běžecké dráhy je 1001,98</w:t>
      </w:r>
      <w:r w:rsidR="00E27DBF">
        <w:rPr>
          <w:rFonts w:ascii="Arial" w:hAnsi="Arial" w:cs="Arial"/>
          <w:sz w:val="20"/>
          <w:szCs w:val="20"/>
        </w:rPr>
        <w:t> </w:t>
      </w:r>
      <w:r w:rsidR="00E27DBF" w:rsidRPr="00EA1387">
        <w:rPr>
          <w:rFonts w:ascii="Arial" w:hAnsi="Arial" w:cs="Arial"/>
          <w:sz w:val="20"/>
          <w:szCs w:val="20"/>
        </w:rPr>
        <w:t>m</w:t>
      </w:r>
      <w:r w:rsidR="00E27DBF" w:rsidRPr="00E27DBF">
        <w:rPr>
          <w:rFonts w:ascii="Arial" w:hAnsi="Arial" w:cs="Arial"/>
          <w:sz w:val="20"/>
          <w:szCs w:val="20"/>
          <w:vertAlign w:val="superscript"/>
        </w:rPr>
        <w:t>2</w:t>
      </w:r>
      <w:r w:rsidR="00E27DBF" w:rsidRPr="008A1EC0">
        <w:rPr>
          <w:rFonts w:ascii="Arial" w:hAnsi="Arial" w:cs="Arial"/>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252B1B"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252B1B">
        <w:rPr>
          <w:rFonts w:ascii="Arial" w:hAnsi="Arial" w:cs="Arial"/>
          <w:sz w:val="20"/>
          <w:szCs w:val="20"/>
        </w:rPr>
        <w:t xml:space="preserve">Zpracované PD </w:t>
      </w:r>
      <w:r w:rsidR="001A5E05" w:rsidRPr="00252B1B">
        <w:rPr>
          <w:rFonts w:ascii="Arial" w:hAnsi="Arial" w:cs="Arial"/>
          <w:sz w:val="20"/>
          <w:szCs w:val="20"/>
        </w:rPr>
        <w:t>z</w:t>
      </w:r>
      <w:r w:rsidR="00E27DBF">
        <w:rPr>
          <w:rFonts w:ascii="Arial" w:hAnsi="Arial" w:cs="Arial"/>
          <w:sz w:val="20"/>
          <w:szCs w:val="20"/>
        </w:rPr>
        <w:t>e</w:t>
      </w:r>
      <w:r w:rsidR="001A5E05" w:rsidRPr="00252B1B">
        <w:rPr>
          <w:rFonts w:ascii="Arial" w:hAnsi="Arial" w:cs="Arial"/>
          <w:sz w:val="20"/>
          <w:szCs w:val="20"/>
        </w:rPr>
        <w:t> </w:t>
      </w:r>
      <w:r w:rsidR="00E27DBF">
        <w:rPr>
          <w:rFonts w:ascii="Arial" w:hAnsi="Arial" w:cs="Arial"/>
          <w:sz w:val="20"/>
          <w:szCs w:val="20"/>
        </w:rPr>
        <w:t>srpna 2017</w:t>
      </w:r>
      <w:r w:rsidR="00AE1A2A" w:rsidRPr="00252B1B">
        <w:rPr>
          <w:rFonts w:ascii="Arial" w:hAnsi="Arial" w:cs="Arial"/>
          <w:sz w:val="20"/>
          <w:szCs w:val="20"/>
        </w:rPr>
        <w:t xml:space="preserve"> Ing. </w:t>
      </w:r>
      <w:r w:rsidR="00E27DBF">
        <w:rPr>
          <w:rFonts w:ascii="Arial" w:hAnsi="Arial" w:cs="Arial"/>
          <w:sz w:val="20"/>
          <w:szCs w:val="20"/>
        </w:rPr>
        <w:t>Radkem Belzou, Ph.D.</w:t>
      </w:r>
      <w:r w:rsidR="00EE16D5" w:rsidRPr="00252B1B">
        <w:rPr>
          <w:rFonts w:ascii="Arial" w:hAnsi="Arial" w:cs="Arial"/>
          <w:sz w:val="20"/>
          <w:szCs w:val="20"/>
        </w:rPr>
        <w:t xml:space="preserve"> </w:t>
      </w:r>
      <w:r w:rsidRPr="00252B1B">
        <w:rPr>
          <w:rFonts w:ascii="Arial" w:hAnsi="Arial" w:cs="Arial"/>
          <w:sz w:val="20"/>
          <w:szCs w:val="20"/>
        </w:rPr>
        <w:t>v návaznosti na předloženou nabídku</w:t>
      </w:r>
      <w:r w:rsidR="00167ADE" w:rsidRPr="00252B1B">
        <w:rPr>
          <w:rFonts w:ascii="Arial" w:hAnsi="Arial" w:cs="Arial"/>
          <w:sz w:val="20"/>
          <w:szCs w:val="20"/>
        </w:rPr>
        <w:t xml:space="preserve"> z výběrového řízení </w:t>
      </w:r>
      <w:r w:rsidRPr="00252B1B">
        <w:rPr>
          <w:rFonts w:ascii="Arial" w:hAnsi="Arial" w:cs="Arial"/>
          <w:sz w:val="20"/>
          <w:szCs w:val="20"/>
        </w:rPr>
        <w:t>ze dne</w:t>
      </w:r>
      <w:r w:rsidR="00065894" w:rsidRPr="00252B1B">
        <w:rPr>
          <w:rFonts w:ascii="Arial" w:hAnsi="Arial" w:cs="Arial"/>
          <w:sz w:val="20"/>
          <w:szCs w:val="20"/>
        </w:rPr>
        <w:t xml:space="preserve"> </w:t>
      </w:r>
      <w:r w:rsidR="003F08D6">
        <w:rPr>
          <w:rFonts w:ascii="Arial" w:hAnsi="Arial" w:cs="Arial"/>
          <w:sz w:val="20"/>
          <w:szCs w:val="20"/>
        </w:rPr>
        <w:t>7</w:t>
      </w:r>
      <w:r w:rsidR="00BF0172" w:rsidRPr="003F08D6">
        <w:rPr>
          <w:rFonts w:ascii="Arial" w:hAnsi="Arial" w:cs="Arial"/>
          <w:sz w:val="20"/>
          <w:szCs w:val="20"/>
        </w:rPr>
        <w:t xml:space="preserve">. </w:t>
      </w:r>
      <w:r w:rsidR="003F08D6" w:rsidRPr="003F08D6">
        <w:rPr>
          <w:rFonts w:ascii="Arial" w:hAnsi="Arial" w:cs="Arial"/>
          <w:sz w:val="20"/>
          <w:szCs w:val="20"/>
        </w:rPr>
        <w:t>2</w:t>
      </w:r>
      <w:r w:rsidR="00BF0172" w:rsidRPr="003F08D6">
        <w:rPr>
          <w:rFonts w:ascii="Arial" w:hAnsi="Arial" w:cs="Arial"/>
          <w:sz w:val="20"/>
          <w:szCs w:val="20"/>
        </w:rPr>
        <w:t>. 2017</w:t>
      </w:r>
      <w:r w:rsidR="00065894" w:rsidRPr="00252B1B">
        <w:rPr>
          <w:rFonts w:ascii="Arial" w:hAnsi="Arial" w:cs="Arial"/>
          <w:sz w:val="20"/>
          <w:szCs w:val="20"/>
        </w:rPr>
        <w:t>.</w:t>
      </w:r>
    </w:p>
    <w:p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bookmarkStart w:id="0" w:name="_GoBack"/>
      <w:bookmarkEnd w:id="0"/>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Pr>
          <w:rFonts w:ascii="Arial" w:hAnsi="Arial" w:cs="Arial"/>
          <w:sz w:val="20"/>
          <w:szCs w:val="20"/>
        </w:rPr>
        <w:t>, a dále potvrzuje, že prověřil</w:t>
      </w:r>
      <w:r w:rsidR="004F74F9" w:rsidRPr="004F74F9">
        <w:rPr>
          <w:rFonts w:ascii="Arial" w:hAnsi="Arial" w:cs="Arial"/>
          <w:sz w:val="20"/>
          <w:szCs w:val="20"/>
        </w:rPr>
        <w:t xml:space="preserve"> správnost výměr a počtů uvedených v Zadávací dokumentaci, a nebude v průběhu realizace Díla uplatňovat jakékoliv nároky na změnu Smlouvy o dílo plynoucí z nepřesností výměr nebo počtů, popřípadě z chybných údajů.</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 xml:space="preserve">stavby, jak je vymezena v čl. 2.1 této smlouvy, a všech se stavbou souvisejících stavebních prací, řemesel, věcí a materiálů, tj. zhotovení věcí </w:t>
      </w:r>
      <w:r w:rsidRPr="00C23FBE">
        <w:rPr>
          <w:rFonts w:ascii="Arial" w:hAnsi="Arial" w:cs="Arial"/>
          <w:sz w:val="20"/>
          <w:szCs w:val="20"/>
        </w:rPr>
        <w:lastRenderedPageBreak/>
        <w:t>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D618D1" w:rsidP="009630DD">
      <w:pPr>
        <w:overflowPunct w:val="0"/>
        <w:autoSpaceDE w:val="0"/>
        <w:autoSpaceDN w:val="0"/>
        <w:adjustRightInd w:val="0"/>
        <w:ind w:left="567" w:hanging="567"/>
        <w:jc w:val="both"/>
        <w:textAlignment w:val="baseline"/>
        <w:rPr>
          <w:rFonts w:ascii="Arial" w:hAnsi="Arial" w:cs="Arial"/>
          <w:sz w:val="20"/>
          <w:szCs w:val="20"/>
        </w:rPr>
      </w:pPr>
      <w:r w:rsidRPr="00D618D1">
        <w:t xml:space="preserve"> </w:t>
      </w:r>
      <w:r w:rsidR="009630DD">
        <w:tab/>
      </w:r>
      <w:r w:rsidRPr="00D618D1">
        <w:rPr>
          <w:rFonts w:ascii="Arial" w:hAnsi="Arial" w:cs="Arial"/>
          <w:sz w:val="20"/>
          <w:szCs w:val="20"/>
        </w:rPr>
        <w:t xml:space="preserve">Poplatky za případný zábor veřejného prostranství a pozemků v majetku jiné osoby než objednatele, zařízení staveniště, náklady na energie, </w:t>
      </w:r>
      <w:r>
        <w:rPr>
          <w:rFonts w:ascii="Arial" w:hAnsi="Arial" w:cs="Arial"/>
          <w:sz w:val="20"/>
          <w:szCs w:val="20"/>
        </w:rPr>
        <w:t xml:space="preserve">vodu, </w:t>
      </w:r>
      <w:r w:rsidRPr="00D618D1">
        <w:rPr>
          <w:rFonts w:ascii="Arial" w:hAnsi="Arial" w:cs="Arial"/>
          <w:sz w:val="20"/>
          <w:szCs w:val="20"/>
        </w:rPr>
        <w:t>veškerou dopravu, skládku, případně mezideponii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D618D1" w:rsidRDefault="00D618D1" w:rsidP="00D618D1">
      <w:pPr>
        <w:pStyle w:val="Odstavecseseznamem"/>
        <w:rPr>
          <w:rFonts w:ascii="Arial" w:hAnsi="Arial" w:cs="Arial"/>
          <w:sz w:val="20"/>
          <w:szCs w:val="20"/>
        </w:rPr>
      </w:pPr>
    </w:p>
    <w:p w:rsidR="00D618D1" w:rsidRDefault="00D618D1" w:rsidP="00D618D1">
      <w:pPr>
        <w:numPr>
          <w:ilvl w:val="1"/>
          <w:numId w:val="24"/>
        </w:numPr>
        <w:overflowPunct w:val="0"/>
        <w:autoSpaceDE w:val="0"/>
        <w:autoSpaceDN w:val="0"/>
        <w:adjustRightInd w:val="0"/>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A90CBC" w:rsidRDefault="00A90CBC" w:rsidP="00A90CBC">
      <w:pPr>
        <w:pStyle w:val="Odstavecseseznamem"/>
        <w:rPr>
          <w:rFonts w:ascii="Arial" w:hAnsi="Arial" w:cs="Arial"/>
          <w:sz w:val="20"/>
          <w:szCs w:val="20"/>
        </w:rPr>
      </w:pPr>
    </w:p>
    <w:p w:rsidR="00E27DBF" w:rsidRDefault="00E27DBF" w:rsidP="00A90CBC">
      <w:pPr>
        <w:pStyle w:val="Odstavecseseznamem"/>
        <w:rPr>
          <w:rFonts w:ascii="Arial" w:hAnsi="Arial" w:cs="Arial"/>
          <w:sz w:val="20"/>
          <w:szCs w:val="20"/>
        </w:rPr>
      </w:pPr>
    </w:p>
    <w:p w:rsidR="00E27DBF" w:rsidRDefault="00E27DBF" w:rsidP="00A90CBC">
      <w:pPr>
        <w:pStyle w:val="Odstavecseseznamem"/>
        <w:rPr>
          <w:rFonts w:ascii="Arial" w:hAnsi="Arial" w:cs="Arial"/>
          <w:sz w:val="20"/>
          <w:szCs w:val="20"/>
        </w:rPr>
      </w:pPr>
    </w:p>
    <w:p w:rsidR="00E27DBF" w:rsidRDefault="00E27DBF" w:rsidP="00A90CBC">
      <w:pPr>
        <w:pStyle w:val="Odstavecseseznamem"/>
        <w:rPr>
          <w:rFonts w:ascii="Arial" w:hAnsi="Arial" w:cs="Arial"/>
          <w:sz w:val="20"/>
          <w:szCs w:val="20"/>
        </w:rPr>
      </w:pP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lastRenderedPageBreak/>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27FA7"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dohodly, že Objednatel předá Zhotoviteli staveniště, které bude způsobilé pro zahájení a provádění Díla podle této smlouvy, </w:t>
      </w:r>
      <w:r w:rsidRPr="00252B1B">
        <w:rPr>
          <w:rFonts w:ascii="Arial" w:hAnsi="Arial" w:cs="Arial"/>
          <w:sz w:val="20"/>
          <w:szCs w:val="20"/>
        </w:rPr>
        <w:t xml:space="preserve">nejpozději do </w:t>
      </w:r>
      <w:r w:rsidR="00FC1BD3">
        <w:rPr>
          <w:rFonts w:ascii="Arial" w:hAnsi="Arial" w:cs="Arial"/>
          <w:sz w:val="20"/>
          <w:szCs w:val="20"/>
        </w:rPr>
        <w:t>14</w:t>
      </w:r>
      <w:r w:rsidR="00BE10A4" w:rsidRPr="008F766B">
        <w:rPr>
          <w:rFonts w:ascii="Arial" w:hAnsi="Arial" w:cs="Arial"/>
          <w:sz w:val="20"/>
          <w:szCs w:val="20"/>
        </w:rPr>
        <w:t xml:space="preserve"> dnů od podpisu této smlouvy</w:t>
      </w:r>
      <w:r w:rsidR="00B811F3" w:rsidRPr="008F766B">
        <w:rPr>
          <w:rFonts w:ascii="Arial" w:hAnsi="Arial" w:cs="Arial"/>
          <w:sz w:val="20"/>
          <w:szCs w:val="20"/>
        </w:rPr>
        <w:t>.</w:t>
      </w:r>
      <w:r w:rsidRPr="00D27FA7">
        <w:rPr>
          <w:rFonts w:ascii="Arial" w:hAnsi="Arial" w:cs="Arial"/>
          <w:sz w:val="20"/>
          <w:szCs w:val="20"/>
        </w:rPr>
        <w:t xml:space="preserve"> Staveniš</w:t>
      </w:r>
      <w:r w:rsidR="00D27FA7" w:rsidRPr="00D27FA7">
        <w:rPr>
          <w:rFonts w:ascii="Arial" w:hAnsi="Arial" w:cs="Arial"/>
          <w:sz w:val="20"/>
          <w:szCs w:val="20"/>
        </w:rPr>
        <w:t>tě se považuje za způsobilé pro</w:t>
      </w:r>
      <w:r w:rsidRPr="00D27FA7">
        <w:rPr>
          <w:rFonts w:ascii="Arial" w:hAnsi="Arial" w:cs="Arial"/>
          <w:sz w:val="20"/>
          <w:szCs w:val="20"/>
        </w:rPr>
        <w:t xml:space="preserve"> 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D27FA7">
        <w:rPr>
          <w:rFonts w:ascii="Arial" w:hAnsi="Arial" w:cs="Arial"/>
          <w:b/>
          <w:sz w:val="20"/>
          <w:szCs w:val="20"/>
        </w:rPr>
        <w:t>Den zahájení provádění Díla</w:t>
      </w:r>
      <w:r w:rsidRPr="00D27FA7">
        <w:rPr>
          <w:rFonts w:ascii="Arial" w:hAnsi="Arial" w:cs="Arial"/>
          <w:sz w:val="20"/>
          <w:szCs w:val="20"/>
        </w:rPr>
        <w:t xml:space="preserve">“). </w:t>
      </w:r>
    </w:p>
    <w:p w:rsidR="00820C91" w:rsidRPr="00D27FA7" w:rsidRDefault="00820C91" w:rsidP="00820C91">
      <w:pPr>
        <w:jc w:val="both"/>
        <w:rPr>
          <w:rFonts w:ascii="Arial" w:hAnsi="Arial" w:cs="Arial"/>
          <w:color w:val="FF0000"/>
          <w:sz w:val="20"/>
          <w:szCs w:val="20"/>
        </w:rPr>
      </w:pPr>
    </w:p>
    <w:p w:rsidR="00820C91" w:rsidRPr="008F766B"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Zhotovitel se zavazuje Dílo vymezené touto smlouvou provést a dokončené předat Objednateli </w:t>
      </w:r>
      <w:r w:rsidR="003C003C">
        <w:rPr>
          <w:rFonts w:ascii="Arial" w:hAnsi="Arial" w:cs="Arial"/>
          <w:sz w:val="20"/>
          <w:szCs w:val="20"/>
        </w:rPr>
        <w:t xml:space="preserve">tak, </w:t>
      </w:r>
      <w:r w:rsidR="003C003C" w:rsidRPr="008F766B">
        <w:rPr>
          <w:rFonts w:ascii="Arial" w:hAnsi="Arial" w:cs="Arial"/>
          <w:sz w:val="20"/>
          <w:szCs w:val="20"/>
        </w:rPr>
        <w:t>jak je definováno v bodu 5.1</w:t>
      </w:r>
      <w:r w:rsidR="003C003C">
        <w:rPr>
          <w:rFonts w:ascii="Arial" w:hAnsi="Arial" w:cs="Arial"/>
          <w:sz w:val="20"/>
          <w:szCs w:val="20"/>
        </w:rPr>
        <w:t xml:space="preserve"> </w:t>
      </w:r>
      <w:r w:rsidRPr="00252B1B">
        <w:rPr>
          <w:rFonts w:ascii="Arial" w:hAnsi="Arial" w:cs="Arial"/>
          <w:sz w:val="20"/>
          <w:szCs w:val="20"/>
        </w:rPr>
        <w:t xml:space="preserve">nejpozději </w:t>
      </w:r>
      <w:r w:rsidR="009D1055" w:rsidRPr="003C003C">
        <w:rPr>
          <w:rFonts w:ascii="Arial" w:hAnsi="Arial" w:cs="Arial"/>
          <w:sz w:val="20"/>
          <w:szCs w:val="20"/>
        </w:rPr>
        <w:t xml:space="preserve">do </w:t>
      </w:r>
      <w:r w:rsidR="00FC1BD3">
        <w:rPr>
          <w:rFonts w:ascii="Arial" w:hAnsi="Arial" w:cs="Arial"/>
          <w:sz w:val="20"/>
          <w:szCs w:val="20"/>
        </w:rPr>
        <w:t>31</w:t>
      </w:r>
      <w:r w:rsidR="003C003C">
        <w:rPr>
          <w:rFonts w:ascii="Arial" w:hAnsi="Arial" w:cs="Arial"/>
          <w:sz w:val="20"/>
          <w:szCs w:val="20"/>
        </w:rPr>
        <w:t xml:space="preserve">. </w:t>
      </w:r>
      <w:r w:rsidR="00FC1BD3">
        <w:rPr>
          <w:rFonts w:ascii="Arial" w:hAnsi="Arial" w:cs="Arial"/>
          <w:sz w:val="20"/>
          <w:szCs w:val="20"/>
        </w:rPr>
        <w:t>7</w:t>
      </w:r>
      <w:r w:rsidR="003C003C">
        <w:rPr>
          <w:rFonts w:ascii="Arial" w:hAnsi="Arial" w:cs="Arial"/>
          <w:sz w:val="20"/>
          <w:szCs w:val="20"/>
        </w:rPr>
        <w:t>. 2018</w:t>
      </w:r>
      <w:r w:rsidR="00114DCA" w:rsidRPr="008F766B">
        <w:rPr>
          <w:rFonts w:ascii="Arial" w:hAnsi="Arial" w:cs="Arial"/>
          <w:sz w:val="20"/>
          <w:szCs w:val="20"/>
        </w:rPr>
        <w:t>.</w:t>
      </w:r>
      <w:r w:rsidRPr="008F766B">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820C91" w:rsidP="00820C91">
      <w:pPr>
        <w:numPr>
          <w:ilvl w:val="1"/>
          <w:numId w:val="5"/>
        </w:numPr>
        <w:tabs>
          <w:tab w:val="num" w:pos="540"/>
        </w:tabs>
        <w:ind w:left="540" w:hanging="540"/>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20C91" w:rsidRDefault="00820C91" w:rsidP="00820C91">
      <w:pPr>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C23FBE">
        <w:rPr>
          <w:rFonts w:ascii="Arial" w:hAnsi="Arial" w:cs="Arial"/>
          <w:sz w:val="20"/>
          <w:szCs w:val="20"/>
        </w:rPr>
        <w:t xml:space="preserve">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w:t>
      </w:r>
      <w:r w:rsidRPr="00C23FBE">
        <w:rPr>
          <w:rFonts w:ascii="Arial" w:hAnsi="Arial" w:cs="Arial"/>
          <w:sz w:val="20"/>
          <w:szCs w:val="20"/>
        </w:rPr>
        <w:lastRenderedPageBreak/>
        <w:t>v deníku stavební dozor Objednatele, orgány</w:t>
      </w:r>
      <w:r w:rsidRPr="000759ED">
        <w:rPr>
          <w:rFonts w:ascii="Arial" w:hAnsi="Arial" w:cs="Arial"/>
          <w:sz w:val="20"/>
          <w:szCs w:val="20"/>
        </w:rPr>
        <w:t xml:space="preserve"> státního dohledu a zástupci smluvních stran k tomu stranami zmocnění.</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0759ED" w:rsidRDefault="00820C91" w:rsidP="00820C91">
      <w:pPr>
        <w:tabs>
          <w:tab w:val="num" w:pos="1800"/>
        </w:tabs>
        <w:jc w:val="both"/>
        <w:rPr>
          <w:rFonts w:ascii="Arial" w:hAnsi="Arial" w:cs="Arial"/>
          <w:sz w:val="20"/>
          <w:szCs w:val="20"/>
        </w:rPr>
      </w:pPr>
    </w:p>
    <w:p w:rsidR="00820C91" w:rsidRPr="000759ED"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820C91">
      <w:pPr>
        <w:tabs>
          <w:tab w:val="num" w:pos="1800"/>
        </w:tabs>
        <w:jc w:val="both"/>
        <w:rPr>
          <w:rFonts w:ascii="Arial" w:hAnsi="Arial" w:cs="Arial"/>
          <w:sz w:val="20"/>
          <w:szCs w:val="20"/>
        </w:rPr>
      </w:pPr>
    </w:p>
    <w:p w:rsidR="00820C91" w:rsidRPr="00C23FBE" w:rsidRDefault="00820C91" w:rsidP="00820C91">
      <w:pPr>
        <w:numPr>
          <w:ilvl w:val="1"/>
          <w:numId w:val="5"/>
        </w:numPr>
        <w:tabs>
          <w:tab w:val="num" w:pos="540"/>
          <w:tab w:val="num" w:pos="72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rsidR="00820C91" w:rsidRDefault="00820C91" w:rsidP="00820C91">
      <w:pPr>
        <w:tabs>
          <w:tab w:val="num" w:pos="1800"/>
        </w:tabs>
        <w:jc w:val="both"/>
        <w:rPr>
          <w:rFonts w:ascii="Arial" w:hAnsi="Arial" w:cs="Arial"/>
          <w:sz w:val="20"/>
          <w:szCs w:val="20"/>
        </w:rPr>
      </w:pPr>
    </w:p>
    <w:p w:rsidR="00820C91" w:rsidRPr="00DD22BB" w:rsidRDefault="00820C91" w:rsidP="00820C91">
      <w:pPr>
        <w:numPr>
          <w:ilvl w:val="1"/>
          <w:numId w:val="5"/>
        </w:numPr>
        <w:tabs>
          <w:tab w:val="num" w:pos="540"/>
          <w:tab w:val="num" w:pos="72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w:t>
      </w:r>
      <w:r w:rsidRPr="004E723A">
        <w:rPr>
          <w:rFonts w:ascii="Arial" w:hAnsi="Arial" w:cs="Arial"/>
          <w:sz w:val="20"/>
          <w:szCs w:val="20"/>
        </w:rPr>
        <w:lastRenderedPageBreak/>
        <w:t xml:space="preserve">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Default="00820C91" w:rsidP="00820C91">
      <w:pPr>
        <w:ind w:left="540"/>
        <w:jc w:val="both"/>
        <w:rPr>
          <w:rFonts w:ascii="Arial" w:hAnsi="Arial" w:cs="Arial"/>
          <w:sz w:val="18"/>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630DD">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 xml:space="preserve">Veškerá </w:t>
      </w:r>
      <w:r w:rsidRPr="005772FF">
        <w:rPr>
          <w:rFonts w:ascii="Arial" w:hAnsi="Arial" w:cs="Arial"/>
          <w:sz w:val="20"/>
          <w:szCs w:val="20"/>
        </w:rPr>
        <w:lastRenderedPageBreak/>
        <w:t>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 xml:space="preserve">resp. pokynů, převzatých od Objednatele a Zhotovitel při vynaložení veškerého úsilí a odborné péče, kterou lze po něm </w:t>
      </w:r>
      <w:r>
        <w:rPr>
          <w:rFonts w:ascii="Arial" w:hAnsi="Arial" w:cs="Arial"/>
          <w:sz w:val="20"/>
          <w:szCs w:val="20"/>
        </w:rPr>
        <w:lastRenderedPageBreak/>
        <w:t>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820C91" w:rsidP="00D618D1">
      <w:pPr>
        <w:numPr>
          <w:ilvl w:val="1"/>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w:t>
      </w:r>
      <w:r w:rsidR="00653D96" w:rsidRPr="008E230C">
        <w:rPr>
          <w:rFonts w:ascii="Arial" w:hAnsi="Arial" w:cs="Arial"/>
          <w:sz w:val="20"/>
          <w:szCs w:val="20"/>
        </w:rPr>
        <w:t xml:space="preserve">ustanovuje </w:t>
      </w:r>
      <w:r w:rsidR="00E27DBF">
        <w:rPr>
          <w:rFonts w:ascii="Arial" w:hAnsi="Arial" w:cs="Arial"/>
          <w:sz w:val="20"/>
          <w:szCs w:val="20"/>
        </w:rPr>
        <w:t>Ing. Jaroslava Paznochta,</w:t>
      </w:r>
      <w:r w:rsidR="00653D96" w:rsidRPr="0049781E">
        <w:rPr>
          <w:rFonts w:ascii="Arial" w:hAnsi="Arial" w:cs="Arial"/>
          <w:sz w:val="20"/>
          <w:szCs w:val="20"/>
        </w:rPr>
        <w:t xml:space="preserve"> </w:t>
      </w:r>
      <w:r w:rsidR="00D618D1" w:rsidRPr="0049781E">
        <w:rPr>
          <w:rFonts w:ascii="Arial" w:hAnsi="Arial" w:cs="Arial"/>
          <w:sz w:val="20"/>
          <w:szCs w:val="20"/>
        </w:rPr>
        <w:t>mobil</w:t>
      </w:r>
      <w:r w:rsidR="00252B1B" w:rsidRPr="0049781E">
        <w:rPr>
          <w:rFonts w:ascii="Arial" w:hAnsi="Arial" w:cs="Arial"/>
          <w:sz w:val="20"/>
          <w:szCs w:val="20"/>
        </w:rPr>
        <w:t>:</w:t>
      </w:r>
      <w:r w:rsidR="00D618D1" w:rsidRPr="0049781E">
        <w:rPr>
          <w:rFonts w:ascii="Arial" w:hAnsi="Arial" w:cs="Arial"/>
          <w:sz w:val="20"/>
          <w:szCs w:val="20"/>
        </w:rPr>
        <w:t xml:space="preserve"> </w:t>
      </w:r>
      <w:r w:rsidR="00E27DBF">
        <w:rPr>
          <w:rFonts w:ascii="Arial" w:hAnsi="Arial" w:cs="Arial"/>
          <w:sz w:val="20"/>
          <w:szCs w:val="20"/>
        </w:rPr>
        <w:t>725 519 675</w:t>
      </w:r>
      <w:r w:rsidR="00D618D1" w:rsidRPr="0049781E">
        <w:rPr>
          <w:rFonts w:ascii="Arial" w:hAnsi="Arial" w:cs="Arial"/>
          <w:sz w:val="20"/>
          <w:szCs w:val="20"/>
        </w:rPr>
        <w:t xml:space="preserve">, email: </w:t>
      </w:r>
      <w:r w:rsidR="00E27DBF">
        <w:rPr>
          <w:rFonts w:ascii="Arial" w:hAnsi="Arial" w:cs="Arial"/>
          <w:sz w:val="20"/>
          <w:szCs w:val="20"/>
        </w:rPr>
        <w:t>obec@stredokluky.cz</w:t>
      </w:r>
      <w:r w:rsidR="00114DCA" w:rsidRPr="0049781E">
        <w:rPr>
          <w:rFonts w:ascii="Arial" w:hAnsi="Arial" w:cs="Arial"/>
          <w:sz w:val="20"/>
          <w:szCs w:val="20"/>
        </w:rPr>
        <w:t xml:space="preserve"> jako </w:t>
      </w:r>
      <w:r w:rsidR="00653D96" w:rsidRPr="0049781E">
        <w:rPr>
          <w:rFonts w:ascii="Arial" w:hAnsi="Arial" w:cs="Arial"/>
          <w:sz w:val="20"/>
          <w:szCs w:val="20"/>
        </w:rPr>
        <w:t xml:space="preserve">kontaktní osobu a </w:t>
      </w:r>
      <w:r w:rsidR="00653D96" w:rsidRPr="00E27DBF">
        <w:rPr>
          <w:rFonts w:ascii="Arial" w:hAnsi="Arial" w:cs="Arial"/>
          <w:sz w:val="20"/>
          <w:szCs w:val="20"/>
          <w:highlight w:val="green"/>
        </w:rPr>
        <w:t>TDI</w:t>
      </w:r>
      <w:r w:rsidR="00653D96" w:rsidRPr="0049781E">
        <w:rPr>
          <w:rFonts w:ascii="Arial" w:hAnsi="Arial" w:cs="Arial"/>
          <w:sz w:val="20"/>
          <w:szCs w:val="20"/>
        </w:rPr>
        <w:t xml:space="preserve"> p</w:t>
      </w:r>
      <w:r w:rsidR="00653D96">
        <w:rPr>
          <w:rFonts w:ascii="Arial" w:hAnsi="Arial" w:cs="Arial"/>
          <w:sz w:val="20"/>
          <w:szCs w:val="20"/>
        </w:rPr>
        <w:t>ro jednání se Zhotovitelem</w:t>
      </w:r>
      <w:r w:rsidR="00D618D1">
        <w:rPr>
          <w:rFonts w:ascii="Arial" w:hAnsi="Arial" w:cs="Arial"/>
          <w:sz w:val="20"/>
          <w:szCs w:val="20"/>
        </w:rPr>
        <w:t>.</w:t>
      </w:r>
      <w:r>
        <w:rPr>
          <w:rFonts w:ascii="Arial" w:hAnsi="Arial" w:cs="Arial"/>
          <w:sz w:val="20"/>
          <w:szCs w:val="20"/>
        </w:rPr>
        <w:t xml:space="preserve"> Objednatel je oprávněn osobu pověřenou stavebním dozorem v průběhu realizace Díla změnit. </w:t>
      </w:r>
      <w:r w:rsidR="000614FB">
        <w:rPr>
          <w:rFonts w:ascii="Arial" w:hAnsi="Arial" w:cs="Arial"/>
          <w:sz w:val="20"/>
          <w:szCs w:val="20"/>
        </w:rPr>
        <w:t>Technický</w:t>
      </w:r>
      <w:r>
        <w:rPr>
          <w:rFonts w:ascii="Arial" w:hAnsi="Arial" w:cs="Arial"/>
          <w:sz w:val="20"/>
          <w:szCs w:val="20"/>
        </w:rPr>
        <w:t xml:space="preserve"> dozor</w:t>
      </w:r>
      <w:r w:rsidR="00653D96">
        <w:rPr>
          <w:rFonts w:ascii="Arial" w:hAnsi="Arial" w:cs="Arial"/>
          <w:sz w:val="20"/>
          <w:szCs w:val="20"/>
        </w:rPr>
        <w:t xml:space="preserve"> (nebo kontaktní osoba)</w:t>
      </w:r>
      <w:r>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Kč (slovy: …………………. korun českých).</w:t>
      </w:r>
      <w:r>
        <w:rPr>
          <w:rFonts w:ascii="Arial" w:hAnsi="Arial" w:cs="Arial"/>
          <w:sz w:val="20"/>
          <w:szCs w:val="20"/>
        </w:rPr>
        <w:t xml:space="preserve"> 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49781E" w:rsidRDefault="0049781E" w:rsidP="00820C91">
      <w:pPr>
        <w:overflowPunct w:val="0"/>
        <w:autoSpaceDE w:val="0"/>
        <w:autoSpaceDN w:val="0"/>
        <w:adjustRightInd w:val="0"/>
        <w:jc w:val="both"/>
        <w:textAlignment w:val="baseline"/>
        <w:rPr>
          <w:rFonts w:ascii="Arial" w:hAnsi="Arial" w:cs="Arial"/>
          <w:sz w:val="20"/>
          <w:szCs w:val="20"/>
        </w:rPr>
      </w:pPr>
    </w:p>
    <w:p w:rsidR="0049781E" w:rsidRDefault="0049781E" w:rsidP="00820C91">
      <w:pPr>
        <w:overflowPunct w:val="0"/>
        <w:autoSpaceDE w:val="0"/>
        <w:autoSpaceDN w:val="0"/>
        <w:adjustRightInd w:val="0"/>
        <w:jc w:val="both"/>
        <w:textAlignment w:val="baseline"/>
        <w:rPr>
          <w:rFonts w:ascii="Arial" w:hAnsi="Arial" w:cs="Arial"/>
          <w:sz w:val="20"/>
          <w:szCs w:val="20"/>
        </w:rPr>
      </w:pPr>
    </w:p>
    <w:p w:rsidR="0049781E" w:rsidRDefault="0049781E"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Objednatele</w:t>
      </w:r>
      <w:r w:rsidR="00246EFE">
        <w:rPr>
          <w:rFonts w:ascii="Arial" w:hAnsi="Arial" w:cs="Arial"/>
          <w:sz w:val="20"/>
          <w:szCs w:val="20"/>
        </w:rPr>
        <w:t>. Bez těchto příloh nebude faktura Objednatelem přijata, nebo bude faktura vrácena zpět k doplnění.</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Default="00817188" w:rsidP="00817188">
      <w:pPr>
        <w:pStyle w:val="Odstavecseseznamem"/>
        <w:rPr>
          <w:rFonts w:ascii="Arial" w:hAnsi="Arial" w:cs="Arial"/>
          <w:sz w:val="20"/>
        </w:rPr>
      </w:pPr>
    </w:p>
    <w:p w:rsidR="00820C91" w:rsidRDefault="00820C91" w:rsidP="00820C91">
      <w:pPr>
        <w:jc w:val="both"/>
        <w:rPr>
          <w:rFonts w:ascii="Arial" w:hAnsi="Arial" w:cs="Arial"/>
          <w:sz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w:t>
      </w:r>
      <w:r w:rsidRPr="00062CB6">
        <w:rPr>
          <w:rFonts w:ascii="Arial" w:hAnsi="Arial" w:cs="Arial"/>
          <w:sz w:val="20"/>
          <w:szCs w:val="20"/>
        </w:rPr>
        <w:lastRenderedPageBreak/>
        <w:t xml:space="preserve">V rámci méněprací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Default="00820C91" w:rsidP="00820C91">
      <w:pPr>
        <w:pStyle w:val="Odstavecseseznamem"/>
        <w:rPr>
          <w:rFonts w:ascii="Arial" w:hAnsi="Arial" w:cs="Arial"/>
          <w:sz w:val="20"/>
          <w:szCs w:val="20"/>
        </w:rPr>
      </w:pP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lastRenderedPageBreak/>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A13017">
      <w:pPr>
        <w:pStyle w:val="Zkladntext"/>
        <w:tabs>
          <w:tab w:val="clear" w:pos="5670"/>
        </w:tabs>
        <w:jc w:val="left"/>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 xml:space="preserve">prostřednictvím držitele poštovní licence na v záhlaví uvedenou adresu straně, a to doporučeným dopisem. V případě pochybností o okamžiku doručení se má za to, že písemné </w:t>
      </w:r>
      <w:r w:rsidRPr="00707C6D">
        <w:rPr>
          <w:rFonts w:ascii="Arial" w:hAnsi="Arial" w:cs="Arial"/>
          <w:color w:val="000000"/>
          <w:sz w:val="20"/>
          <w:szCs w:val="20"/>
        </w:rPr>
        <w:lastRenderedPageBreak/>
        <w:t>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w:t>
      </w:r>
      <w:r w:rsidR="00E27DBF">
        <w:rPr>
          <w:rFonts w:ascii="Arial" w:hAnsi="Arial" w:cs="Arial"/>
          <w:bCs/>
          <w:sz w:val="20"/>
          <w:szCs w:val="20"/>
        </w:rPr>
        <w:t>e</w:t>
      </w:r>
      <w:r w:rsidR="006A6B13">
        <w:rPr>
          <w:rFonts w:ascii="Arial" w:hAnsi="Arial" w:cs="Arial"/>
          <w:bCs/>
          <w:sz w:val="20"/>
          <w:szCs w:val="20"/>
        </w:rPr>
        <w:t> </w:t>
      </w:r>
      <w:r w:rsidR="00E27DBF">
        <w:rPr>
          <w:rFonts w:ascii="Arial" w:hAnsi="Arial" w:cs="Arial"/>
          <w:bCs/>
          <w:sz w:val="20"/>
          <w:szCs w:val="20"/>
        </w:rPr>
        <w:t>Středoklukách</w:t>
      </w:r>
      <w:r w:rsidR="006A6B13">
        <w:rPr>
          <w:rFonts w:ascii="Arial" w:hAnsi="Arial" w:cs="Arial"/>
          <w:bCs/>
          <w:sz w:val="20"/>
          <w:szCs w:val="20"/>
        </w:rPr>
        <w:t xml:space="preserve"> </w:t>
      </w:r>
      <w:r w:rsidR="008247BE">
        <w:rPr>
          <w:rFonts w:ascii="Arial" w:hAnsi="Arial" w:cs="Arial"/>
          <w:bCs/>
          <w:sz w:val="20"/>
          <w:szCs w:val="20"/>
        </w:rPr>
        <w:t>dne …………...201</w:t>
      </w:r>
      <w:r w:rsidR="00456E8E">
        <w:rPr>
          <w:rFonts w:ascii="Arial" w:hAnsi="Arial" w:cs="Arial"/>
          <w:bCs/>
          <w:sz w:val="20"/>
          <w:szCs w:val="20"/>
        </w:rPr>
        <w:t>7</w:t>
      </w:r>
      <w:r>
        <w:rPr>
          <w:rFonts w:ascii="Arial" w:hAnsi="Arial" w:cs="Arial"/>
          <w:bCs/>
          <w:sz w:val="20"/>
          <w:szCs w:val="20"/>
        </w:rPr>
        <w:t xml:space="preserve">     </w:t>
      </w:r>
      <w:r>
        <w:rPr>
          <w:rFonts w:ascii="Arial" w:hAnsi="Arial" w:cs="Arial"/>
          <w:bCs/>
          <w:sz w:val="20"/>
          <w:szCs w:val="20"/>
        </w:rPr>
        <w:tab/>
        <w:t xml:space="preserve">              V </w:t>
      </w:r>
      <w:r w:rsidR="00167ADE">
        <w:rPr>
          <w:rFonts w:ascii="Arial" w:hAnsi="Arial" w:cs="Arial"/>
          <w:bCs/>
          <w:sz w:val="20"/>
          <w:szCs w:val="20"/>
        </w:rPr>
        <w:t>……</w:t>
      </w:r>
      <w:r w:rsidR="00E27DBF">
        <w:rPr>
          <w:rFonts w:ascii="Arial" w:hAnsi="Arial" w:cs="Arial"/>
          <w:bCs/>
          <w:sz w:val="20"/>
          <w:szCs w:val="20"/>
        </w:rPr>
        <w:t>……….</w:t>
      </w:r>
      <w:r w:rsidR="00167ADE">
        <w:rPr>
          <w:rFonts w:ascii="Arial" w:hAnsi="Arial" w:cs="Arial"/>
          <w:bCs/>
          <w:sz w:val="20"/>
          <w:szCs w:val="20"/>
        </w:rPr>
        <w:t>.</w:t>
      </w:r>
      <w:r>
        <w:rPr>
          <w:rFonts w:ascii="Arial" w:hAnsi="Arial" w:cs="Arial"/>
          <w:bCs/>
          <w:sz w:val="20"/>
          <w:szCs w:val="20"/>
        </w:rPr>
        <w:t xml:space="preserve"> ………..201</w:t>
      </w:r>
      <w:r w:rsidR="00456E8E">
        <w:rPr>
          <w:rFonts w:ascii="Arial" w:hAnsi="Arial" w:cs="Arial"/>
          <w:bCs/>
          <w:sz w:val="20"/>
          <w:szCs w:val="20"/>
        </w:rPr>
        <w:t>7</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2F5" w:rsidRDefault="002B32F5">
      <w:r>
        <w:separator/>
      </w:r>
    </w:p>
  </w:endnote>
  <w:endnote w:type="continuationSeparator" w:id="0">
    <w:p w:rsidR="002B32F5" w:rsidRDefault="002B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2F5" w:rsidRDefault="002B32F5">
      <w:r>
        <w:separator/>
      </w:r>
    </w:p>
  </w:footnote>
  <w:footnote w:type="continuationSeparator" w:id="0">
    <w:p w:rsidR="002B32F5" w:rsidRDefault="002B3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53F5"/>
    <w:rsid w:val="00023A33"/>
    <w:rsid w:val="00047671"/>
    <w:rsid w:val="000614FB"/>
    <w:rsid w:val="00065894"/>
    <w:rsid w:val="00082097"/>
    <w:rsid w:val="000A4CEC"/>
    <w:rsid w:val="000A7EAC"/>
    <w:rsid w:val="000C20EF"/>
    <w:rsid w:val="000C28FB"/>
    <w:rsid w:val="000E3647"/>
    <w:rsid w:val="00114DCA"/>
    <w:rsid w:val="00116B46"/>
    <w:rsid w:val="001436FF"/>
    <w:rsid w:val="00167ADE"/>
    <w:rsid w:val="0017463F"/>
    <w:rsid w:val="001750B6"/>
    <w:rsid w:val="001A5E05"/>
    <w:rsid w:val="001B19E1"/>
    <w:rsid w:val="001C7996"/>
    <w:rsid w:val="001D33E9"/>
    <w:rsid w:val="001F2D4F"/>
    <w:rsid w:val="00246EFE"/>
    <w:rsid w:val="00250335"/>
    <w:rsid w:val="0025112C"/>
    <w:rsid w:val="00252B1B"/>
    <w:rsid w:val="002559C6"/>
    <w:rsid w:val="00262759"/>
    <w:rsid w:val="002736F4"/>
    <w:rsid w:val="002900AA"/>
    <w:rsid w:val="00292358"/>
    <w:rsid w:val="002B2677"/>
    <w:rsid w:val="002B32F5"/>
    <w:rsid w:val="002C36F6"/>
    <w:rsid w:val="002C53F5"/>
    <w:rsid w:val="002D2B82"/>
    <w:rsid w:val="002F23EA"/>
    <w:rsid w:val="002F2624"/>
    <w:rsid w:val="003025A6"/>
    <w:rsid w:val="00321F4C"/>
    <w:rsid w:val="00323A53"/>
    <w:rsid w:val="0033061E"/>
    <w:rsid w:val="003405A8"/>
    <w:rsid w:val="00341E5C"/>
    <w:rsid w:val="0035418F"/>
    <w:rsid w:val="003646B6"/>
    <w:rsid w:val="003669DE"/>
    <w:rsid w:val="00381FE3"/>
    <w:rsid w:val="00383877"/>
    <w:rsid w:val="003903AC"/>
    <w:rsid w:val="003A017E"/>
    <w:rsid w:val="003B3772"/>
    <w:rsid w:val="003C003C"/>
    <w:rsid w:val="003D11A4"/>
    <w:rsid w:val="003F08D6"/>
    <w:rsid w:val="003F78D2"/>
    <w:rsid w:val="003F7AF4"/>
    <w:rsid w:val="004003F6"/>
    <w:rsid w:val="00424AE7"/>
    <w:rsid w:val="00440036"/>
    <w:rsid w:val="004460FC"/>
    <w:rsid w:val="00446F33"/>
    <w:rsid w:val="00456E8E"/>
    <w:rsid w:val="00464D62"/>
    <w:rsid w:val="004732DA"/>
    <w:rsid w:val="0049781E"/>
    <w:rsid w:val="004D074B"/>
    <w:rsid w:val="004D24AA"/>
    <w:rsid w:val="004D59A3"/>
    <w:rsid w:val="004F74F9"/>
    <w:rsid w:val="0053299C"/>
    <w:rsid w:val="00541288"/>
    <w:rsid w:val="0056252F"/>
    <w:rsid w:val="005714A6"/>
    <w:rsid w:val="00582DC7"/>
    <w:rsid w:val="00594AE3"/>
    <w:rsid w:val="005958CB"/>
    <w:rsid w:val="005B7F01"/>
    <w:rsid w:val="006010E4"/>
    <w:rsid w:val="0061526D"/>
    <w:rsid w:val="00640963"/>
    <w:rsid w:val="006442FB"/>
    <w:rsid w:val="00653D96"/>
    <w:rsid w:val="0065783E"/>
    <w:rsid w:val="00676B52"/>
    <w:rsid w:val="006A3160"/>
    <w:rsid w:val="006A36DD"/>
    <w:rsid w:val="006A6B13"/>
    <w:rsid w:val="006B2B27"/>
    <w:rsid w:val="006B6718"/>
    <w:rsid w:val="006C6B9D"/>
    <w:rsid w:val="006D715C"/>
    <w:rsid w:val="00744C11"/>
    <w:rsid w:val="00754877"/>
    <w:rsid w:val="007548DA"/>
    <w:rsid w:val="00761392"/>
    <w:rsid w:val="00761751"/>
    <w:rsid w:val="00767EBE"/>
    <w:rsid w:val="00771B95"/>
    <w:rsid w:val="00785DE7"/>
    <w:rsid w:val="00793A7F"/>
    <w:rsid w:val="007E23CC"/>
    <w:rsid w:val="007E625D"/>
    <w:rsid w:val="00817188"/>
    <w:rsid w:val="00820C91"/>
    <w:rsid w:val="008212AD"/>
    <w:rsid w:val="008247BE"/>
    <w:rsid w:val="00830F41"/>
    <w:rsid w:val="00842AC9"/>
    <w:rsid w:val="008650F7"/>
    <w:rsid w:val="0086725A"/>
    <w:rsid w:val="008A1EC0"/>
    <w:rsid w:val="008B498D"/>
    <w:rsid w:val="008D74FC"/>
    <w:rsid w:val="008E230C"/>
    <w:rsid w:val="008F766B"/>
    <w:rsid w:val="0090538E"/>
    <w:rsid w:val="00905E53"/>
    <w:rsid w:val="009147A0"/>
    <w:rsid w:val="009201E4"/>
    <w:rsid w:val="00952CA6"/>
    <w:rsid w:val="00960F92"/>
    <w:rsid w:val="009630DD"/>
    <w:rsid w:val="00993F20"/>
    <w:rsid w:val="009978B2"/>
    <w:rsid w:val="009B42CE"/>
    <w:rsid w:val="009D1055"/>
    <w:rsid w:val="009E28B5"/>
    <w:rsid w:val="009F5E9E"/>
    <w:rsid w:val="00A13017"/>
    <w:rsid w:val="00A318DB"/>
    <w:rsid w:val="00A8093A"/>
    <w:rsid w:val="00A81771"/>
    <w:rsid w:val="00A8454C"/>
    <w:rsid w:val="00A87524"/>
    <w:rsid w:val="00A90CBC"/>
    <w:rsid w:val="00AA1543"/>
    <w:rsid w:val="00AD4720"/>
    <w:rsid w:val="00AE0512"/>
    <w:rsid w:val="00AE1A2A"/>
    <w:rsid w:val="00AF2781"/>
    <w:rsid w:val="00B40696"/>
    <w:rsid w:val="00B45BB7"/>
    <w:rsid w:val="00B5751A"/>
    <w:rsid w:val="00B6116A"/>
    <w:rsid w:val="00B749A7"/>
    <w:rsid w:val="00B74DD3"/>
    <w:rsid w:val="00B77B53"/>
    <w:rsid w:val="00B811F3"/>
    <w:rsid w:val="00B91E02"/>
    <w:rsid w:val="00B974D1"/>
    <w:rsid w:val="00BA6955"/>
    <w:rsid w:val="00BC1B65"/>
    <w:rsid w:val="00BE10A4"/>
    <w:rsid w:val="00BF0172"/>
    <w:rsid w:val="00BF3C30"/>
    <w:rsid w:val="00C02790"/>
    <w:rsid w:val="00C1191E"/>
    <w:rsid w:val="00C4100A"/>
    <w:rsid w:val="00C677A5"/>
    <w:rsid w:val="00C8145E"/>
    <w:rsid w:val="00CA0FAC"/>
    <w:rsid w:val="00CA589B"/>
    <w:rsid w:val="00CA6BFD"/>
    <w:rsid w:val="00CD2730"/>
    <w:rsid w:val="00CF6924"/>
    <w:rsid w:val="00D019A9"/>
    <w:rsid w:val="00D11317"/>
    <w:rsid w:val="00D27FA7"/>
    <w:rsid w:val="00D34FC6"/>
    <w:rsid w:val="00D417DD"/>
    <w:rsid w:val="00D41EFD"/>
    <w:rsid w:val="00D52AC2"/>
    <w:rsid w:val="00D618D1"/>
    <w:rsid w:val="00D6268B"/>
    <w:rsid w:val="00D84899"/>
    <w:rsid w:val="00D91D9E"/>
    <w:rsid w:val="00D94751"/>
    <w:rsid w:val="00DA6A1C"/>
    <w:rsid w:val="00DA729D"/>
    <w:rsid w:val="00DB1605"/>
    <w:rsid w:val="00DB6B46"/>
    <w:rsid w:val="00DC7090"/>
    <w:rsid w:val="00E02E3F"/>
    <w:rsid w:val="00E127B0"/>
    <w:rsid w:val="00E27DBF"/>
    <w:rsid w:val="00E86950"/>
    <w:rsid w:val="00E94ED9"/>
    <w:rsid w:val="00EA1387"/>
    <w:rsid w:val="00EA6F61"/>
    <w:rsid w:val="00EB3D74"/>
    <w:rsid w:val="00ED3E52"/>
    <w:rsid w:val="00EE16D5"/>
    <w:rsid w:val="00F338BD"/>
    <w:rsid w:val="00F4120C"/>
    <w:rsid w:val="00F41A77"/>
    <w:rsid w:val="00F457B2"/>
    <w:rsid w:val="00F835F4"/>
    <w:rsid w:val="00F86249"/>
    <w:rsid w:val="00F91A34"/>
    <w:rsid w:val="00FA6568"/>
    <w:rsid w:val="00FC1BD3"/>
    <w:rsid w:val="00FE12E6"/>
    <w:rsid w:val="00FF2EC5"/>
    <w:rsid w:val="00FF4E1E"/>
    <w:rsid w:val="00FF6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9C61D"/>
  <w15:docId w15:val="{5934F903-C33A-4A37-A072-A8F0203B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7135</Words>
  <Characters>42101</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Jaroslav Paznocht</cp:lastModifiedBy>
  <cp:revision>10</cp:revision>
  <cp:lastPrinted>2012-01-20T10:54:00Z</cp:lastPrinted>
  <dcterms:created xsi:type="dcterms:W3CDTF">2017-05-04T09:31:00Z</dcterms:created>
  <dcterms:modified xsi:type="dcterms:W3CDTF">2018-01-25T14:52:00Z</dcterms:modified>
</cp:coreProperties>
</file>